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8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6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8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9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October 31, 2014</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American Assets Trust, Inc.</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38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2840" w:type="dxa"/>
            <w:vAlign w:val="bottom"/>
          </w:tcPr>
          <w:p>
            <w:pPr>
              <w:jc w:val="center"/>
              <w:ind w:right="339"/>
              <w:spacing w:after="0"/>
              <w:rPr>
                <w:sz w:val="20"/>
                <w:szCs w:val="20"/>
                <w:color w:val="auto"/>
              </w:rPr>
            </w:pPr>
            <w:r>
              <w:rPr>
                <w:rFonts w:ascii="Arial" w:cs="Arial" w:eastAsia="Arial" w:hAnsi="Arial"/>
                <w:sz w:val="18"/>
                <w:szCs w:val="18"/>
                <w:b w:val="1"/>
                <w:bCs w:val="1"/>
                <w:color w:val="auto"/>
                <w:w w:val="98"/>
              </w:rPr>
              <w:t>Maryland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001-35030</w:t>
            </w:r>
          </w:p>
        </w:tc>
        <w:tc>
          <w:tcPr>
            <w:tcW w:w="2220" w:type="dxa"/>
            <w:vAlign w:val="bottom"/>
          </w:tcPr>
          <w:p>
            <w:pPr>
              <w:jc w:val="center"/>
              <w:ind w:left="1021"/>
              <w:spacing w:after="0"/>
              <w:rPr>
                <w:sz w:val="20"/>
                <w:szCs w:val="20"/>
                <w:color w:val="auto"/>
              </w:rPr>
            </w:pPr>
            <w:r>
              <w:rPr>
                <w:rFonts w:ascii="Arial" w:cs="Arial" w:eastAsia="Arial" w:hAnsi="Arial"/>
                <w:sz w:val="18"/>
                <w:szCs w:val="18"/>
                <w:b w:val="1"/>
                <w:bCs w:val="1"/>
                <w:color w:val="auto"/>
                <w:w w:val="91"/>
              </w:rPr>
              <w:t>27-3338708</w:t>
            </w:r>
          </w:p>
        </w:tc>
      </w:tr>
      <w:tr>
        <w:trPr>
          <w:trHeight w:val="149"/>
        </w:trPr>
        <w:tc>
          <w:tcPr>
            <w:tcW w:w="2840" w:type="dxa"/>
            <w:vAlign w:val="bottom"/>
          </w:tcPr>
          <w:p>
            <w:pPr>
              <w:jc w:val="center"/>
              <w:ind w:right="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220" w:type="dxa"/>
            <w:vAlign w:val="bottom"/>
          </w:tcPr>
          <w:p>
            <w:pPr>
              <w:jc w:val="center"/>
              <w:ind w:left="10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339"/>
              <w:spacing w:after="0"/>
              <w:rPr>
                <w:sz w:val="20"/>
                <w:szCs w:val="20"/>
                <w:color w:val="auto"/>
              </w:rPr>
            </w:pPr>
            <w:r>
              <w:rPr>
                <w:rFonts w:ascii="Arial" w:cs="Arial" w:eastAsia="Arial" w:hAnsi="Arial"/>
                <w:sz w:val="14"/>
                <w:szCs w:val="14"/>
                <w:b w:val="1"/>
                <w:bCs w:val="1"/>
                <w:color w:val="auto"/>
                <w:w w:val="94"/>
              </w:rPr>
              <w:t>of incorporation)</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2220" w:type="dxa"/>
            <w:vAlign w:val="bottom"/>
          </w:tcPr>
          <w:p>
            <w:pPr>
              <w:jc w:val="center"/>
              <w:ind w:left="1021"/>
              <w:spacing w:after="0"/>
              <w:rPr>
                <w:sz w:val="20"/>
                <w:szCs w:val="20"/>
                <w:color w:val="auto"/>
              </w:rPr>
            </w:pPr>
            <w:r>
              <w:rPr>
                <w:rFonts w:ascii="Arial" w:cs="Arial" w:eastAsia="Arial" w:hAnsi="Arial"/>
                <w:sz w:val="14"/>
                <w:szCs w:val="14"/>
                <w:b w:val="1"/>
                <w:bCs w:val="1"/>
                <w:color w:val="auto"/>
                <w:w w:val="94"/>
              </w:rPr>
              <w:t>Identification No.)</w:t>
            </w:r>
          </w:p>
        </w:tc>
      </w:tr>
      <w:tr>
        <w:trPr>
          <w:trHeight w:val="232"/>
        </w:trPr>
        <w:tc>
          <w:tcPr>
            <w:tcW w:w="284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11455 El Camino Real, Suite 200</w:t>
            </w:r>
          </w:p>
        </w:tc>
        <w:tc>
          <w:tcPr>
            <w:tcW w:w="1800" w:type="dxa"/>
            <w:vAlign w:val="bottom"/>
          </w:tcPr>
          <w:p>
            <w:pPr>
              <w:spacing w:after="0"/>
              <w:rPr>
                <w:sz w:val="20"/>
                <w:szCs w:val="20"/>
                <w:color w:val="auto"/>
              </w:rPr>
            </w:pPr>
          </w:p>
        </w:tc>
        <w:tc>
          <w:tcPr>
            <w:tcW w:w="2220" w:type="dxa"/>
            <w:vAlign w:val="bottom"/>
          </w:tcPr>
          <w:p>
            <w:pPr>
              <w:jc w:val="right"/>
              <w:ind w:right="1321"/>
              <w:spacing w:after="0"/>
              <w:rPr>
                <w:sz w:val="20"/>
                <w:szCs w:val="20"/>
                <w:color w:val="auto"/>
              </w:rPr>
            </w:pPr>
            <w:r>
              <w:rPr>
                <w:rFonts w:ascii="Arial" w:cs="Arial" w:eastAsia="Arial" w:hAnsi="Arial"/>
                <w:sz w:val="18"/>
                <w:szCs w:val="18"/>
                <w:b w:val="1"/>
                <w:bCs w:val="1"/>
                <w:color w:val="auto"/>
              </w:rPr>
              <w:t>92130</w:t>
            </w:r>
          </w:p>
        </w:tc>
      </w:tr>
      <w:tr>
        <w:trPr>
          <w:trHeight w:val="216"/>
        </w:trPr>
        <w:tc>
          <w:tcPr>
            <w:tcW w:w="284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San Diego, California 92130</w:t>
            </w:r>
          </w:p>
        </w:tc>
        <w:tc>
          <w:tcPr>
            <w:tcW w:w="1800" w:type="dxa"/>
            <w:vAlign w:val="bottom"/>
          </w:tcPr>
          <w:p>
            <w:pPr>
              <w:spacing w:after="0"/>
              <w:rPr>
                <w:sz w:val="18"/>
                <w:szCs w:val="18"/>
                <w:color w:val="auto"/>
              </w:rPr>
            </w:pPr>
          </w:p>
        </w:tc>
        <w:tc>
          <w:tcPr>
            <w:tcW w:w="2220" w:type="dxa"/>
            <w:vAlign w:val="bottom"/>
          </w:tcPr>
          <w:p>
            <w:pPr>
              <w:jc w:val="right"/>
              <w:ind w:right="1161"/>
              <w:spacing w:after="0"/>
              <w:rPr>
                <w:sz w:val="20"/>
                <w:szCs w:val="20"/>
                <w:color w:val="auto"/>
              </w:rPr>
            </w:pPr>
            <w:r>
              <w:rPr>
                <w:rFonts w:ascii="Arial" w:cs="Arial" w:eastAsia="Arial" w:hAnsi="Arial"/>
                <w:sz w:val="14"/>
                <w:szCs w:val="14"/>
                <w:b w:val="1"/>
                <w:bCs w:val="1"/>
                <w:color w:val="auto"/>
              </w:rPr>
              <w:t>(Zip Code)</w:t>
            </w:r>
          </w:p>
        </w:tc>
      </w:tr>
      <w:tr>
        <w:trPr>
          <w:trHeight w:val="186"/>
        </w:trPr>
        <w:tc>
          <w:tcPr>
            <w:tcW w:w="2840" w:type="dxa"/>
            <w:vAlign w:val="bottom"/>
          </w:tcPr>
          <w:p>
            <w:pPr>
              <w:jc w:val="center"/>
              <w:ind w:right="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55"/>
        </w:trPr>
        <w:tc>
          <w:tcPr>
            <w:tcW w:w="2840" w:type="dxa"/>
            <w:vAlign w:val="bottom"/>
          </w:tcPr>
          <w:p>
            <w:pPr>
              <w:spacing w:after="0"/>
              <w:rPr>
                <w:sz w:val="22"/>
                <w:szCs w:val="22"/>
                <w:color w:val="auto"/>
              </w:rPr>
            </w:pPr>
          </w:p>
        </w:tc>
        <w:tc>
          <w:tcPr>
            <w:tcW w:w="1800" w:type="dxa"/>
            <w:vAlign w:val="bottom"/>
          </w:tcPr>
          <w:p>
            <w:pPr>
              <w:jc w:val="right"/>
              <w:ind w:right="239"/>
              <w:spacing w:after="0"/>
              <w:rPr>
                <w:sz w:val="20"/>
                <w:szCs w:val="20"/>
                <w:color w:val="auto"/>
              </w:rPr>
            </w:pPr>
            <w:r>
              <w:rPr>
                <w:rFonts w:ascii="Arial" w:cs="Arial" w:eastAsia="Arial" w:hAnsi="Arial"/>
                <w:sz w:val="18"/>
                <w:szCs w:val="18"/>
                <w:b w:val="1"/>
                <w:bCs w:val="1"/>
                <w:color w:val="auto"/>
              </w:rPr>
              <w:t>(858) 350-2600</w:t>
            </w:r>
          </w:p>
        </w:tc>
        <w:tc>
          <w:tcPr>
            <w:tcW w:w="2220" w:type="dxa"/>
            <w:vAlign w:val="bottom"/>
          </w:tcPr>
          <w:p>
            <w:pPr>
              <w:spacing w:after="0"/>
              <w:rPr>
                <w:sz w:val="22"/>
                <w:szCs w:val="22"/>
                <w:color w:val="auto"/>
              </w:rPr>
            </w:pPr>
          </w:p>
        </w:tc>
      </w:tr>
    </w:tbl>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16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420" w:hanging="385"/>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7" w:lineRule="exact"/>
        <w:rPr>
          <w:rFonts w:ascii="Arial" w:cs="Arial" w:eastAsia="Arial" w:hAnsi="Arial"/>
          <w:sz w:val="18"/>
          <w:szCs w:val="18"/>
          <w:color w:val="auto"/>
        </w:rPr>
      </w:pPr>
    </w:p>
    <w:p>
      <w:pPr>
        <w:ind w:left="420" w:hanging="385"/>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87" w:lineRule="exact"/>
        <w:rPr>
          <w:rFonts w:ascii="Arial" w:cs="Arial" w:eastAsia="Arial" w:hAnsi="Arial"/>
          <w:sz w:val="18"/>
          <w:szCs w:val="18"/>
          <w:color w:val="auto"/>
        </w:rPr>
      </w:pPr>
    </w:p>
    <w:p>
      <w:pPr>
        <w:ind w:left="420" w:hanging="385"/>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87" w:lineRule="exact"/>
        <w:rPr>
          <w:rFonts w:ascii="Arial" w:cs="Arial" w:eastAsia="Arial" w:hAnsi="Arial"/>
          <w:sz w:val="18"/>
          <w:szCs w:val="18"/>
          <w:color w:val="auto"/>
        </w:rPr>
      </w:pPr>
    </w:p>
    <w:p>
      <w:pPr>
        <w:ind w:left="420" w:hanging="385"/>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675" w:right="359" w:bottom="1440" w:gutter="0" w:footer="0" w:header="0"/>
        </w:sectPr>
      </w:pPr>
    </w:p>
    <w:bookmarkStart w:id="1" w:name="page2"/>
    <w:bookmarkEnd w:id="1"/>
    <w:p>
      <w:pPr>
        <w:ind w:left="40"/>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October 31, 2014, American Assets Trust, Inc. (the “Company”) and American Assets Trust, L.P. (the “Operating Partnership”) entered into a Note Purchase Agreement (the “Note Purchase Agreement”) with the various purchasers named therein (the “Purchasers”).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Note Purchase Agreement provides for the private placement of $350 million of senior guaranteed notes by the Operating Partnership, of which</w:t>
      </w:r>
    </w:p>
    <w:p>
      <w:pPr>
        <w:spacing w:after="0" w:line="46" w:lineRule="exact"/>
        <w:rPr>
          <w:sz w:val="20"/>
          <w:szCs w:val="20"/>
          <w:color w:val="auto"/>
        </w:rPr>
      </w:pPr>
    </w:p>
    <w:p>
      <w:pPr>
        <w:ind w:right="40" w:firstLine="8"/>
        <w:spacing w:after="0" w:line="252"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$150 million are designated as 4.04% Senior Guaranteed Notes, Series A due October 31, 2021 (the “Series A Notes”), (ii) $100 million are designated as 4.45% Senior Guaranteed Notes, Series B, due February 2, 2025 (the “Series B Notes”) and (iii) $100 million are designated as 4.50% Senior Guaranteed Notes, Series C, due April 1, 2025 (the “Series C Notes”, and collectively with the Series A Notes and Series B Notes, are referred to herein as, the “Notes”). The Series A Notes were issued on October 31, 2014. The Series B Notes are expected to be issued on February 2, 2015 and the Series C Notes are expected to be issued on April 1, 2015, each subject to customary closing conditions. Upon issuance, the Notes will pay interest quarterly on the last day of January, April, July and October until their respective maturities.</w:t>
      </w:r>
    </w:p>
    <w:p>
      <w:pPr>
        <w:spacing w:after="0" w:line="14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Operating Partnership may prepay at any time all, or from time to time any part of, the Notes, in an amount not less than 5% of the aggregate principal amount of any series of the Notes then outstanding in the case of a partial prepayment, at 100% of the principal amount so prepaid plus a Make-Whole Amount (as defined in the Note Purchase Agreement).</w:t>
      </w:r>
    </w:p>
    <w:p>
      <w:pPr>
        <w:spacing w:after="0" w:line="181"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The Note Purchase Agreement contains a number of customary financial covenants, including, without limitation, tangible net worth thresholds, secured and unsecured leverage ratios and fixed charge coverage ratios. Subject to the terms of the Note Purchase Agreement and the Notes, upon certain events of default, including, but not limited to, (i) a default in the payment of any principal, Make-Whole Amount or interest under the Notes, and (ii) a default in the payment of certain other indebtedness of the Operating Partnership, the Company or their subsidiaries, the principal and accrued and unpaid interest and the Make-Whole Amount on the outstanding Notes will become due and payable at the option of the Purchasers.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Operating Partnership’s obligations under the Notes are fully and unconditionally guaranteed by the Company and certain of their subsidiaries.</w:t>
      </w:r>
    </w:p>
    <w:p>
      <w:pPr>
        <w:spacing w:after="0" w:line="19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proceeds from the issuance of the Notes will be used by the Operating Partnership to refinance existing secured indebtedness and for general corporate purposes. The Notes have not been and will not be registered under the Securities Act of 1933, as amended (the “Securities Act”), and may not be offered or sold in the United States absent registration or an applicable exemption from the registration requirements. The Operating Partnership offered and sold the Notes in reliance on the exemption from registration provided by Section 4(a)(2) of the Securities Act.</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above summary of the Note Purchase Agreement does not purport to be complete and is qualified in its entirety by reference to the full text of the Note Purchase Agreement. A copy of the Note Purchase Agreement, including the form of the Notes, is attached as Exhibit 10.1 to this Current Report on Form 8-K, and is incorporated herein by reference.</w:t>
      </w:r>
    </w:p>
    <w:p>
      <w:pPr>
        <w:spacing w:after="0" w:line="3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Direct Financial Obligation or an Obligation under an Off-Balance Sheet Arrangement of a Registrant.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1.01 above is incorporated herein by reference.</w:t>
      </w: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7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October 31, 2014, the Company issued a press release announcing the issuance of the Notes. A copy of the press release is attached hereto as Exhibit 99.1. The information contained in Item 7.01 of this report, including Exhibit 99.1, is being furnished and shall not be deemed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ectPr>
          <w:pgSz w:w="11900" w:h="16838" w:orient="portrait"/>
          <w:cols w:equalWidth="0" w:num="1">
            <w:col w:w="11360"/>
          </w:cols>
          <w:pgMar w:left="240" w:top="958" w:right="299" w:bottom="1440" w:gutter="0" w:footer="0" w:header="0"/>
        </w:sectPr>
      </w:pPr>
    </w:p>
    <w:bookmarkStart w:id="2" w:name="page3"/>
    <w:bookmarkEnd w:id="2"/>
    <w:p>
      <w:pPr>
        <w:ind w:left="40"/>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0" w:type="dxa"/>
            <w:vAlign w:val="bottom"/>
            <w:gridSpan w:val="2"/>
          </w:tcPr>
          <w:p>
            <w:pPr>
              <w:ind w:left="220"/>
              <w:spacing w:after="0"/>
              <w:rPr>
                <w:sz w:val="20"/>
                <w:szCs w:val="20"/>
                <w:color w:val="auto"/>
              </w:rPr>
            </w:pPr>
            <w:r>
              <w:rPr>
                <w:rFonts w:ascii="Arial" w:cs="Arial" w:eastAsia="Arial" w:hAnsi="Arial"/>
                <w:sz w:val="18"/>
                <w:szCs w:val="18"/>
                <w:b w:val="1"/>
                <w:bCs w:val="1"/>
                <w:color w:val="auto"/>
              </w:rPr>
              <w:t>(d)</w:t>
            </w:r>
          </w:p>
        </w:tc>
        <w:tc>
          <w:tcPr>
            <w:tcW w:w="844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73"/>
        </w:trPr>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8440" w:type="dxa"/>
            <w:vAlign w:val="bottom"/>
            <w:gridSpan w:val="3"/>
          </w:tcPr>
          <w:p>
            <w:pPr>
              <w:ind w:left="3880"/>
              <w:spacing w:after="0"/>
              <w:rPr>
                <w:sz w:val="20"/>
                <w:szCs w:val="20"/>
                <w:color w:val="auto"/>
              </w:rPr>
            </w:pPr>
            <w:r>
              <w:rPr>
                <w:rFonts w:ascii="Arial" w:cs="Arial" w:eastAsia="Arial" w:hAnsi="Arial"/>
                <w:sz w:val="14"/>
                <w:szCs w:val="14"/>
                <w:b w:val="1"/>
                <w:bCs w:val="1"/>
                <w:color w:val="auto"/>
              </w:rPr>
              <w:t>Exhibit Description</w:t>
            </w:r>
          </w:p>
        </w:tc>
      </w:tr>
      <w:tr>
        <w:trPr>
          <w:trHeight w:val="129"/>
        </w:trPr>
        <w:tc>
          <w:tcPr>
            <w:tcW w:w="56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Number</w:t>
            </w:r>
          </w:p>
        </w:tc>
        <w:tc>
          <w:tcPr>
            <w:tcW w:w="388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360" w:type="dxa"/>
            <w:vAlign w:val="bottom"/>
          </w:tcPr>
          <w:p>
            <w:pPr>
              <w:spacing w:after="0"/>
              <w:rPr>
                <w:sz w:val="11"/>
                <w:szCs w:val="11"/>
                <w:color w:val="auto"/>
              </w:rPr>
            </w:pPr>
          </w:p>
        </w:tc>
      </w:tr>
      <w:tr>
        <w:trPr>
          <w:trHeight w:val="425"/>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w w:val="89"/>
              </w:rPr>
              <w:t>Note Purchase Agreement, dated as of October 31, 2014, by and among American Assets Trust, Inc., American</w:t>
            </w:r>
          </w:p>
        </w:tc>
      </w:tr>
      <w:tr>
        <w:trPr>
          <w:trHeight w:val="230"/>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Assets Trust, L.P. and the purchasers named therein.</w:t>
            </w: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23"/>
                <w:szCs w:val="23"/>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Press release issued by American Assets Trust, Inc. on October 31,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128905</wp:posOffset>
            </wp:positionV>
            <wp:extent cx="114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ectPr>
          <w:pgSz w:w="11900" w:h="16838" w:orient="portrait"/>
          <w:cols w:equalWidth="0" w:num="1">
            <w:col w:w="10219"/>
          </w:cols>
          <w:pgMar w:left="240" w:top="742"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American Assets Trust, Inc.</w:t>
      </w:r>
    </w:p>
    <w:p>
      <w:pPr>
        <w:spacing w:after="0" w:line="23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Adam Wyll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143510</wp:posOffset>
            </wp:positionV>
            <wp:extent cx="3095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Adam Wyll</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Senior Vice President, General Counsel and Secretary</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31, 2014</w:t>
      </w:r>
    </w:p>
    <w:p>
      <w:pPr>
        <w:sectPr>
          <w:pgSz w:w="11900" w:h="16838" w:orient="portrait"/>
          <w:cols w:equalWidth="0" w:num="1">
            <w:col w:w="11220"/>
          </w:cols>
          <w:pgMar w:left="240" w:top="58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60" w:type="dxa"/>
            <w:vAlign w:val="bottom"/>
          </w:tcPr>
          <w:p>
            <w:pPr>
              <w:ind w:left="2300"/>
              <w:spacing w:after="0"/>
              <w:rPr>
                <w:sz w:val="20"/>
                <w:szCs w:val="20"/>
                <w:color w:val="auto"/>
              </w:rPr>
            </w:pPr>
            <w:r>
              <w:rPr>
                <w:rFonts w:ascii="Arial" w:cs="Arial" w:eastAsia="Arial" w:hAnsi="Arial"/>
                <w:sz w:val="18"/>
                <w:szCs w:val="18"/>
                <w:b w:val="1"/>
                <w:bCs w:val="1"/>
                <w:color w:val="auto"/>
              </w:rPr>
              <w:t>EXHIBIT INDEX</w:t>
            </w:r>
          </w:p>
        </w:tc>
      </w:tr>
      <w:tr>
        <w:trPr>
          <w:trHeight w:val="473"/>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 Number</w:t>
            </w:r>
          </w:p>
        </w:tc>
        <w:tc>
          <w:tcPr>
            <w:tcW w:w="30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Description</w:t>
            </w:r>
          </w:p>
        </w:tc>
        <w:tc>
          <w:tcPr>
            <w:tcW w:w="6060" w:type="dxa"/>
            <w:vAlign w:val="bottom"/>
          </w:tcPr>
          <w:p>
            <w:pPr>
              <w:spacing w:after="0"/>
              <w:rPr>
                <w:sz w:val="24"/>
                <w:szCs w:val="24"/>
                <w:color w:val="auto"/>
              </w:rPr>
            </w:pPr>
          </w:p>
        </w:tc>
      </w:tr>
      <w:tr>
        <w:trPr>
          <w:trHeight w:val="425"/>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30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w w:val="89"/>
              </w:rPr>
              <w:t>Note Purchase Agreement, dated as of October 31, 2014, by and among American Assets Trust, Inc.,</w:t>
            </w:r>
          </w:p>
        </w:tc>
      </w:tr>
      <w:tr>
        <w:trPr>
          <w:trHeight w:val="230"/>
        </w:trPr>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American Assets Trust, L.P. and the purchasers named therein.</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3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Press release issued by American Assets Trust, Inc. on October 31, 2014.</w:t>
            </w:r>
          </w:p>
        </w:tc>
      </w:tr>
    </w:tbl>
    <w:p>
      <w:pPr>
        <w:sectPr>
          <w:pgSz w:w="11900" w:h="16838" w:orient="portrait"/>
          <w:cols w:equalWidth="0" w:num="1">
            <w:col w:w="10039"/>
          </w:cols>
          <w:pgMar w:left="420" w:top="58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1406525" cy="737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06525" cy="73723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40"/>
        <w:spacing w:after="0" w:line="316" w:lineRule="auto"/>
        <w:rPr>
          <w:sz w:val="20"/>
          <w:szCs w:val="20"/>
          <w:color w:val="auto"/>
        </w:rPr>
      </w:pPr>
      <w:r>
        <w:rPr>
          <w:rFonts w:ascii="Arial" w:cs="Arial" w:eastAsia="Arial" w:hAnsi="Arial"/>
          <w:sz w:val="25"/>
          <w:szCs w:val="25"/>
          <w:b w:val="1"/>
          <w:bCs w:val="1"/>
          <w:color w:val="auto"/>
        </w:rPr>
        <w:t>American Assets Trust, Inc. Announces Issuance of $150 Million of 4.04% Senior Guaranteed Notes, Series A, Due October 31, 2021</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Release – 10/31/14</w:t>
      </w:r>
    </w:p>
    <w:p>
      <w:pPr>
        <w:spacing w:after="0" w:line="222" w:lineRule="exact"/>
        <w:rPr>
          <w:sz w:val="20"/>
          <w:szCs w:val="20"/>
          <w:color w:val="auto"/>
        </w:rPr>
      </w:pPr>
    </w:p>
    <w:p>
      <w:pPr>
        <w:jc w:val="both"/>
        <w:ind w:right="380"/>
        <w:spacing w:after="0" w:line="288" w:lineRule="auto"/>
        <w:rPr>
          <w:sz w:val="20"/>
          <w:szCs w:val="20"/>
          <w:color w:val="auto"/>
        </w:rPr>
      </w:pPr>
      <w:r>
        <w:rPr>
          <w:rFonts w:ascii="Arial" w:cs="Arial" w:eastAsia="Arial" w:hAnsi="Arial"/>
          <w:sz w:val="20"/>
          <w:szCs w:val="20"/>
          <w:color w:val="auto"/>
        </w:rPr>
        <w:t>SAN DIEGO –American Assets Trust, Inc. (NYSE:AAT) (the “Company”) and American Assets Trust, L.P. (the “Operating Partnership”) announced today the closing of its first privately placed debt offering of $150,000,000 of seven-year senior guaranteed notes (the “Series A Notes”) by the Operating Partnership. The Series A Notes are unsecured, will pay a fixed interest rate of 4.04% and are due on October 31, 2021.</w:t>
      </w:r>
    </w:p>
    <w:p>
      <w:pPr>
        <w:spacing w:after="0" w:line="152" w:lineRule="exact"/>
        <w:rPr>
          <w:sz w:val="20"/>
          <w:szCs w:val="20"/>
          <w:color w:val="auto"/>
        </w:rPr>
      </w:pPr>
    </w:p>
    <w:p>
      <w:pPr>
        <w:ind w:right="440"/>
        <w:spacing w:after="0" w:line="288" w:lineRule="auto"/>
        <w:rPr>
          <w:sz w:val="20"/>
          <w:szCs w:val="20"/>
          <w:color w:val="auto"/>
        </w:rPr>
      </w:pPr>
      <w:r>
        <w:rPr>
          <w:rFonts w:ascii="Arial" w:cs="Arial" w:eastAsia="Arial" w:hAnsi="Arial"/>
          <w:sz w:val="20"/>
          <w:szCs w:val="20"/>
          <w:color w:val="auto"/>
        </w:rPr>
        <w:t>Prior to closing, the Operating Partnership entered into a one-month forward-starting interest swap to reduce the interest rate variability exposure of the projected interest cash outflows under the then-prospective private placement of the Series A Notes described above. As a result, net of the settlement of the forward-starting interest swap, the fixed interest rate in accordance with GAAP for the Series A Notes is approximately 3.88% per annum, through maturity.</w:t>
      </w:r>
    </w:p>
    <w:p>
      <w:pPr>
        <w:spacing w:after="0" w:line="152" w:lineRule="exact"/>
        <w:rPr>
          <w:sz w:val="20"/>
          <w:szCs w:val="20"/>
          <w:color w:val="auto"/>
        </w:rPr>
      </w:pPr>
    </w:p>
    <w:p>
      <w:pPr>
        <w:ind w:right="160"/>
        <w:spacing w:after="0" w:line="303" w:lineRule="auto"/>
        <w:rPr>
          <w:sz w:val="20"/>
          <w:szCs w:val="20"/>
          <w:color w:val="auto"/>
        </w:rPr>
      </w:pPr>
      <w:r>
        <w:rPr>
          <w:rFonts w:ascii="Arial" w:cs="Arial" w:eastAsia="Arial" w:hAnsi="Arial"/>
          <w:sz w:val="20"/>
          <w:szCs w:val="20"/>
          <w:color w:val="auto"/>
        </w:rPr>
        <w:t>The Company intends to use the proceeds from the private placement of the Series A Notes to refinance existing secured indebtedness and for other general corporate purposes.</w:t>
      </w:r>
    </w:p>
    <w:p>
      <w:pPr>
        <w:spacing w:after="0" w:line="135" w:lineRule="exact"/>
        <w:rPr>
          <w:sz w:val="20"/>
          <w:szCs w:val="20"/>
          <w:color w:val="auto"/>
        </w:rPr>
      </w:pPr>
    </w:p>
    <w:p>
      <w:pPr>
        <w:ind w:right="60"/>
        <w:spacing w:after="0" w:line="323" w:lineRule="auto"/>
        <w:rPr>
          <w:sz w:val="20"/>
          <w:szCs w:val="20"/>
          <w:color w:val="auto"/>
        </w:rPr>
      </w:pPr>
      <w:r>
        <w:rPr>
          <w:rFonts w:ascii="Arial" w:cs="Arial" w:eastAsia="Arial" w:hAnsi="Arial"/>
          <w:sz w:val="18"/>
          <w:szCs w:val="18"/>
          <w:color w:val="auto"/>
        </w:rPr>
        <w:t>Additionally, in connection with and concurrent with the issuance of the Series A Notes, the Company and Operating Partnership entered into a Note Purchase Agreement that also provides for the future private placement by the Operating Partnership of (i) $100,000,000 of ten-year senior guaranteed notes (the “Series B Notes”) and (ii) $100,000,000 of ten-year senior guaranteed notes (the “Series C Notes”). The Series B Notes are unsecured, will pay a fixed interest rate of 4.45% and are due on February 2, 2025. The Series C Notes are unsecured, will pay a fixed interest rate of 4.50% and are due on April 1, 2025. The Series B Notes are expected to be issued on February 2, 2015 and the Series C Notes are expected to be issued on April 1, 2015, each subject to customary closing conditions.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American Assets Trust, Inc.</w:t>
      </w:r>
    </w:p>
    <w:p>
      <w:pPr>
        <w:spacing w:after="0" w:line="222" w:lineRule="exact"/>
        <w:rPr>
          <w:sz w:val="20"/>
          <w:szCs w:val="20"/>
          <w:color w:val="auto"/>
        </w:rPr>
      </w:pPr>
    </w:p>
    <w:p>
      <w:pPr>
        <w:spacing w:after="0" w:line="301" w:lineRule="auto"/>
        <w:rPr>
          <w:sz w:val="20"/>
          <w:szCs w:val="20"/>
          <w:color w:val="auto"/>
        </w:rPr>
      </w:pPr>
      <w:r>
        <w:rPr>
          <w:rFonts w:ascii="Arial" w:cs="Arial" w:eastAsia="Arial" w:hAnsi="Arial"/>
          <w:sz w:val="19"/>
          <w:szCs w:val="19"/>
          <w:color w:val="auto"/>
        </w:rPr>
        <w:t xml:space="preserve">American Assets Trust, Inc. is a full service, vertically integrated and self-administered real estate investment trust, or REIT, headquartered in San Diego, California. For over 40 years, the Company has been acquiring, improving, developing and managing premier retail, office and residential properties throughout the United States in some of the nation’s most dynamic, high-barrier-to-entry markets primarily in Southern California, Northern California, Oregon, Washington and Hawaii. The Company's retail portfolio comprises approximately 3.1 million rentable square feet, and its office portfolio comprises approximately 2.6 million square feet. In addition, the Company owns one mixed-use property (including approximately 97,000 rentable square feet of retail space and a 369-room all-suite hotel) and over 900 multifamily units. In 2011, the Company was formed to succeed to the real estate business of American Assets, Inc., a privately held corporation founded in 1967 and, as such, has significant experience, long-standing relationships and extensive knowledge of its core markets, submarkets and asset classes. For additional information, please visit </w:t>
      </w:r>
      <w:r>
        <w:rPr>
          <w:rFonts w:ascii="Arial" w:cs="Arial" w:eastAsia="Arial" w:hAnsi="Arial"/>
          <w:sz w:val="19"/>
          <w:szCs w:val="19"/>
          <w:u w:val="single" w:color="auto"/>
          <w:color w:val="006EBF"/>
        </w:rPr>
        <w:t>www.americanassetstrust.com</w:t>
      </w:r>
      <w:r>
        <w:rPr>
          <w:rFonts w:ascii="Arial" w:cs="Arial" w:eastAsia="Arial" w:hAnsi="Arial"/>
          <w:sz w:val="19"/>
          <w:szCs w:val="19"/>
          <w:color w:val="auto"/>
        </w:rPr>
        <w:t>.</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Forward Looking Statements</w:t>
      </w:r>
    </w:p>
    <w:p>
      <w:pPr>
        <w:spacing w:after="0" w:line="303" w:lineRule="exact"/>
        <w:rPr>
          <w:sz w:val="20"/>
          <w:szCs w:val="20"/>
          <w:color w:val="auto"/>
        </w:rPr>
      </w:pPr>
    </w:p>
    <w:p>
      <w:pPr>
        <w:spacing w:after="0" w:line="317" w:lineRule="auto"/>
        <w:rPr>
          <w:sz w:val="20"/>
          <w:szCs w:val="20"/>
          <w:color w:val="auto"/>
        </w:rPr>
      </w:pPr>
      <w:r>
        <w:rPr>
          <w:rFonts w:ascii="Arial" w:cs="Arial" w:eastAsia="Arial" w:hAnsi="Arial"/>
          <w:sz w:val="18"/>
          <w:szCs w:val="18"/>
          <w:color w:val="auto"/>
        </w:rPr>
        <w:t>This press release may contain forward-looking statements within the meaning of the federal securities laws, which are based on current expectations, forecasts and assumptions that involve risks and uncertainties that could cause actual outcomes and results to differ materially.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While forward-looking statements reflect the Company's good faith beliefs, assumptions and expectations, they are not guarantees of future performance. For a further discussion of these and other factors that could cause the Company's future results to differ materially from any forward-looking statements, see the section entitled "Risk Factors" in the Company's annual report on Form 10-K filed on February 21, 2014 and other risks described in documents subsequently filed by the Company from time to time with the Securities and Exchange Commission. The Company disclaims any obligation to publicly update or revise any forward-looking statement to reflect changes in underlying assumptions or factors, of new information, data or methods, future events or other changes.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 American Assets Trust,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and Media Contact: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American Assets Trust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Robert F. Barton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and Chief Financial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858-350-2607</w:t>
      </w:r>
    </w:p>
    <w:p>
      <w:pPr>
        <w:sectPr>
          <w:pgSz w:w="11900" w:h="16838" w:orient="portrait"/>
          <w:cols w:equalWidth="0" w:num="1">
            <w:col w:w="11340"/>
          </w:cols>
          <w:pgMar w:left="240" w:top="387"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676275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AMERICAN ASSETS TRUST,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1060" w:right="1099"/>
        <w:spacing w:after="0" w:line="281" w:lineRule="auto"/>
        <w:rPr>
          <w:sz w:val="20"/>
          <w:szCs w:val="20"/>
          <w:color w:val="auto"/>
        </w:rPr>
      </w:pPr>
      <w:r>
        <w:rPr>
          <w:rFonts w:ascii="Arial" w:cs="Arial" w:eastAsia="Arial" w:hAnsi="Arial"/>
          <w:sz w:val="22"/>
          <w:szCs w:val="22"/>
          <w:color w:val="auto"/>
        </w:rPr>
        <w:t>$150,000,000 4.04% Senior Guaranteed Notes, Series A, due October 31, 2021 $100,000,000 4.45% Senior Guaranteed Notes, Series B, due February 2, 2025 and</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$100,000,000 4.50% Senior Guaranteed Notes, Series C, due April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______________</w:t>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NOTE PURCHASE AGREEMENT</w:t>
      </w:r>
    </w:p>
    <w:p>
      <w:pPr>
        <w:spacing w:after="0" w:line="34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as of October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1400810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1"/>
        </w:trPr>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60" w:type="dxa"/>
            <w:vAlign w:val="bottom"/>
          </w:tcPr>
          <w:p>
            <w:pPr>
              <w:ind w:left="1960"/>
              <w:spacing w:after="0"/>
              <w:rPr>
                <w:sz w:val="20"/>
                <w:szCs w:val="20"/>
                <w:color w:val="auto"/>
              </w:rPr>
            </w:pPr>
            <w:r>
              <w:rPr>
                <w:rFonts w:ascii="Arial" w:cs="Arial" w:eastAsia="Arial" w:hAnsi="Arial"/>
                <w:sz w:val="22"/>
                <w:szCs w:val="22"/>
                <w:b w:val="1"/>
                <w:bCs w:val="1"/>
                <w:color w:val="auto"/>
              </w:rPr>
              <w:t>TABLE OF CONTENTS</w:t>
            </w:r>
          </w:p>
        </w:tc>
        <w:tc>
          <w:tcPr>
            <w:tcW w:w="1540" w:type="dxa"/>
            <w:vAlign w:val="bottom"/>
          </w:tcPr>
          <w:p>
            <w:pPr>
              <w:spacing w:after="0"/>
              <w:rPr>
                <w:sz w:val="24"/>
                <w:szCs w:val="24"/>
                <w:color w:val="auto"/>
              </w:rPr>
            </w:pPr>
          </w:p>
        </w:tc>
      </w:tr>
      <w:tr>
        <w:trPr>
          <w:trHeight w:val="689"/>
        </w:trPr>
        <w:tc>
          <w:tcPr>
            <w:tcW w:w="1420" w:type="dxa"/>
            <w:vAlign w:val="bottom"/>
          </w:tcPr>
          <w:p>
            <w:pPr>
              <w:spacing w:after="0"/>
              <w:rPr>
                <w:sz w:val="20"/>
                <w:szCs w:val="20"/>
                <w:color w:val="auto"/>
              </w:rPr>
            </w:pPr>
            <w:r>
              <w:rPr>
                <w:rFonts w:ascii="Arial" w:cs="Arial" w:eastAsia="Arial" w:hAnsi="Arial"/>
                <w:sz w:val="22"/>
                <w:szCs w:val="22"/>
                <w:color w:val="auto"/>
              </w:rPr>
              <w:t>Section</w:t>
            </w:r>
          </w:p>
        </w:tc>
        <w:tc>
          <w:tcPr>
            <w:tcW w:w="820" w:type="dxa"/>
            <w:vAlign w:val="bottom"/>
          </w:tcPr>
          <w:p>
            <w:pPr>
              <w:spacing w:after="0"/>
              <w:rPr>
                <w:sz w:val="24"/>
                <w:szCs w:val="24"/>
                <w:color w:val="auto"/>
              </w:rPr>
            </w:pPr>
          </w:p>
        </w:tc>
        <w:tc>
          <w:tcPr>
            <w:tcW w:w="6160" w:type="dxa"/>
            <w:vAlign w:val="bottom"/>
          </w:tcPr>
          <w:p>
            <w:pPr>
              <w:ind w:left="1680"/>
              <w:spacing w:after="0"/>
              <w:rPr>
                <w:sz w:val="20"/>
                <w:szCs w:val="20"/>
                <w:color w:val="auto"/>
              </w:rPr>
            </w:pPr>
            <w:r>
              <w:rPr>
                <w:rFonts w:ascii="Arial" w:cs="Arial" w:eastAsia="Arial" w:hAnsi="Arial"/>
                <w:sz w:val="22"/>
                <w:szCs w:val="22"/>
                <w:color w:val="auto"/>
              </w:rPr>
              <w:t>Heading</w:t>
            </w:r>
          </w:p>
        </w:tc>
        <w:tc>
          <w:tcPr>
            <w:tcW w:w="154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689"/>
        </w:trPr>
        <w:tc>
          <w:tcPr>
            <w:tcW w:w="1420" w:type="dxa"/>
            <w:vAlign w:val="bottom"/>
          </w:tcPr>
          <w:p>
            <w:pPr>
              <w:spacing w:after="0"/>
              <w:rPr>
                <w:sz w:val="20"/>
                <w:szCs w:val="20"/>
                <w:color w:val="auto"/>
              </w:rPr>
            </w:pPr>
            <w:r>
              <w:rPr>
                <w:rFonts w:ascii="Arial" w:cs="Arial" w:eastAsia="Arial" w:hAnsi="Arial"/>
                <w:sz w:val="22"/>
                <w:szCs w:val="22"/>
                <w:color w:val="auto"/>
              </w:rPr>
              <w:t>SECTION 1.</w:t>
            </w:r>
          </w:p>
        </w:tc>
        <w:tc>
          <w:tcPr>
            <w:tcW w:w="6980" w:type="dxa"/>
            <w:vAlign w:val="bottom"/>
            <w:gridSpan w:val="2"/>
          </w:tcPr>
          <w:p>
            <w:pPr>
              <w:ind w:left="280"/>
              <w:spacing w:after="0"/>
              <w:rPr>
                <w:sz w:val="20"/>
                <w:szCs w:val="20"/>
                <w:color w:val="auto"/>
              </w:rPr>
            </w:pPr>
            <w:r>
              <w:rPr>
                <w:rFonts w:ascii="Arial" w:cs="Arial" w:eastAsia="Arial" w:hAnsi="Arial"/>
                <w:sz w:val="22"/>
                <w:szCs w:val="22"/>
                <w:color w:val="auto"/>
              </w:rPr>
              <w:t>AUTHORIZATION OF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1.1.</w:t>
            </w:r>
          </w:p>
        </w:tc>
        <w:tc>
          <w:tcPr>
            <w:tcW w:w="6160" w:type="dxa"/>
            <w:vAlign w:val="bottom"/>
          </w:tcPr>
          <w:p>
            <w:pPr>
              <w:ind w:left="280"/>
              <w:spacing w:after="0"/>
              <w:rPr>
                <w:sz w:val="20"/>
                <w:szCs w:val="20"/>
                <w:color w:val="auto"/>
              </w:rPr>
            </w:pPr>
            <w:r>
              <w:rPr>
                <w:rFonts w:ascii="Arial" w:cs="Arial" w:eastAsia="Arial" w:hAnsi="Arial"/>
                <w:sz w:val="22"/>
                <w:szCs w:val="22"/>
                <w:color w:val="auto"/>
              </w:rPr>
              <w:t>Authorization of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1.2.</w:t>
            </w:r>
          </w:p>
        </w:tc>
        <w:tc>
          <w:tcPr>
            <w:tcW w:w="6160" w:type="dxa"/>
            <w:vAlign w:val="bottom"/>
          </w:tcPr>
          <w:p>
            <w:pPr>
              <w:ind w:left="280"/>
              <w:spacing w:after="0"/>
              <w:rPr>
                <w:sz w:val="20"/>
                <w:szCs w:val="20"/>
                <w:color w:val="auto"/>
              </w:rPr>
            </w:pPr>
            <w:r>
              <w:rPr>
                <w:rFonts w:ascii="Arial" w:cs="Arial" w:eastAsia="Arial" w:hAnsi="Arial"/>
                <w:sz w:val="22"/>
                <w:szCs w:val="22"/>
                <w:color w:val="auto"/>
              </w:rPr>
              <w:t>Affiliate Guaranty</w:t>
            </w:r>
          </w:p>
        </w:tc>
        <w:tc>
          <w:tcPr>
            <w:tcW w:w="15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689"/>
        </w:trPr>
        <w:tc>
          <w:tcPr>
            <w:tcW w:w="1420" w:type="dxa"/>
            <w:vAlign w:val="bottom"/>
          </w:tcPr>
          <w:p>
            <w:pPr>
              <w:spacing w:after="0"/>
              <w:rPr>
                <w:sz w:val="20"/>
                <w:szCs w:val="20"/>
                <w:color w:val="auto"/>
              </w:rPr>
            </w:pPr>
            <w:r>
              <w:rPr>
                <w:rFonts w:ascii="Arial" w:cs="Arial" w:eastAsia="Arial" w:hAnsi="Arial"/>
                <w:sz w:val="22"/>
                <w:szCs w:val="22"/>
                <w:color w:val="auto"/>
              </w:rPr>
              <w:t>SECTION 2.</w:t>
            </w:r>
          </w:p>
        </w:tc>
        <w:tc>
          <w:tcPr>
            <w:tcW w:w="6980" w:type="dxa"/>
            <w:vAlign w:val="bottom"/>
            <w:gridSpan w:val="2"/>
          </w:tcPr>
          <w:p>
            <w:pPr>
              <w:ind w:left="280"/>
              <w:spacing w:after="0"/>
              <w:rPr>
                <w:sz w:val="20"/>
                <w:szCs w:val="20"/>
                <w:color w:val="auto"/>
              </w:rPr>
            </w:pPr>
            <w:r>
              <w:rPr>
                <w:rFonts w:ascii="Arial" w:cs="Arial" w:eastAsia="Arial" w:hAnsi="Arial"/>
                <w:sz w:val="22"/>
                <w:szCs w:val="22"/>
                <w:color w:val="auto"/>
              </w:rPr>
              <w:t>SALE AND PURCHASE OF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689"/>
        </w:trPr>
        <w:tc>
          <w:tcPr>
            <w:tcW w:w="1420" w:type="dxa"/>
            <w:vAlign w:val="bottom"/>
          </w:tcPr>
          <w:p>
            <w:pPr>
              <w:spacing w:after="0"/>
              <w:rPr>
                <w:sz w:val="20"/>
                <w:szCs w:val="20"/>
                <w:color w:val="auto"/>
              </w:rPr>
            </w:pPr>
            <w:r>
              <w:rPr>
                <w:rFonts w:ascii="Arial" w:cs="Arial" w:eastAsia="Arial" w:hAnsi="Arial"/>
                <w:sz w:val="22"/>
                <w:szCs w:val="22"/>
                <w:color w:val="auto"/>
              </w:rPr>
              <w:t>SECTION 3.</w:t>
            </w:r>
          </w:p>
        </w:tc>
        <w:tc>
          <w:tcPr>
            <w:tcW w:w="6980" w:type="dxa"/>
            <w:vAlign w:val="bottom"/>
            <w:gridSpan w:val="2"/>
          </w:tcPr>
          <w:p>
            <w:pPr>
              <w:ind w:left="280"/>
              <w:spacing w:after="0"/>
              <w:rPr>
                <w:sz w:val="20"/>
                <w:szCs w:val="20"/>
                <w:color w:val="auto"/>
              </w:rPr>
            </w:pPr>
            <w:r>
              <w:rPr>
                <w:rFonts w:ascii="Arial" w:cs="Arial" w:eastAsia="Arial" w:hAnsi="Arial"/>
                <w:sz w:val="22"/>
                <w:szCs w:val="22"/>
                <w:color w:val="auto"/>
              </w:rPr>
              <w:t>CLOSING</w:t>
            </w:r>
          </w:p>
        </w:tc>
        <w:tc>
          <w:tcPr>
            <w:tcW w:w="15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689"/>
        </w:trPr>
        <w:tc>
          <w:tcPr>
            <w:tcW w:w="1420" w:type="dxa"/>
            <w:vAlign w:val="bottom"/>
          </w:tcPr>
          <w:p>
            <w:pPr>
              <w:spacing w:after="0"/>
              <w:rPr>
                <w:sz w:val="20"/>
                <w:szCs w:val="20"/>
                <w:color w:val="auto"/>
              </w:rPr>
            </w:pPr>
            <w:r>
              <w:rPr>
                <w:rFonts w:ascii="Arial" w:cs="Arial" w:eastAsia="Arial" w:hAnsi="Arial"/>
                <w:sz w:val="22"/>
                <w:szCs w:val="22"/>
                <w:color w:val="auto"/>
              </w:rPr>
              <w:t>SECTION 4.</w:t>
            </w:r>
          </w:p>
        </w:tc>
        <w:tc>
          <w:tcPr>
            <w:tcW w:w="6980" w:type="dxa"/>
            <w:vAlign w:val="bottom"/>
            <w:gridSpan w:val="2"/>
          </w:tcPr>
          <w:p>
            <w:pPr>
              <w:ind w:left="280"/>
              <w:spacing w:after="0"/>
              <w:rPr>
                <w:sz w:val="20"/>
                <w:szCs w:val="20"/>
                <w:color w:val="auto"/>
              </w:rPr>
            </w:pPr>
            <w:r>
              <w:rPr>
                <w:rFonts w:ascii="Arial" w:cs="Arial" w:eastAsia="Arial" w:hAnsi="Arial"/>
                <w:sz w:val="22"/>
                <w:szCs w:val="22"/>
                <w:color w:val="auto"/>
              </w:rPr>
              <w:t>CONDITIONS TO CLOSING</w:t>
            </w:r>
          </w:p>
        </w:tc>
        <w:tc>
          <w:tcPr>
            <w:tcW w:w="15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4.1.</w:t>
            </w:r>
          </w:p>
        </w:tc>
        <w:tc>
          <w:tcPr>
            <w:tcW w:w="6160" w:type="dxa"/>
            <w:vAlign w:val="bottom"/>
          </w:tcPr>
          <w:p>
            <w:pPr>
              <w:ind w:left="280"/>
              <w:spacing w:after="0"/>
              <w:rPr>
                <w:sz w:val="20"/>
                <w:szCs w:val="20"/>
                <w:color w:val="auto"/>
              </w:rPr>
            </w:pPr>
            <w:r>
              <w:rPr>
                <w:rFonts w:ascii="Arial" w:cs="Arial" w:eastAsia="Arial" w:hAnsi="Arial"/>
                <w:sz w:val="22"/>
                <w:szCs w:val="22"/>
                <w:color w:val="auto"/>
              </w:rPr>
              <w:t>Representations and Warranties</w:t>
            </w:r>
          </w:p>
        </w:tc>
        <w:tc>
          <w:tcPr>
            <w:tcW w:w="15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4.2.</w:t>
            </w:r>
          </w:p>
        </w:tc>
        <w:tc>
          <w:tcPr>
            <w:tcW w:w="6160" w:type="dxa"/>
            <w:vAlign w:val="bottom"/>
          </w:tcPr>
          <w:p>
            <w:pPr>
              <w:ind w:left="280"/>
              <w:spacing w:after="0"/>
              <w:rPr>
                <w:sz w:val="20"/>
                <w:szCs w:val="20"/>
                <w:color w:val="auto"/>
              </w:rPr>
            </w:pPr>
            <w:r>
              <w:rPr>
                <w:rFonts w:ascii="Arial" w:cs="Arial" w:eastAsia="Arial" w:hAnsi="Arial"/>
                <w:sz w:val="22"/>
                <w:szCs w:val="22"/>
                <w:color w:val="auto"/>
              </w:rPr>
              <w:t>Performance; No Default</w:t>
            </w:r>
          </w:p>
        </w:tc>
        <w:tc>
          <w:tcPr>
            <w:tcW w:w="15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4.3.</w:t>
            </w:r>
          </w:p>
        </w:tc>
        <w:tc>
          <w:tcPr>
            <w:tcW w:w="6160" w:type="dxa"/>
            <w:vAlign w:val="bottom"/>
          </w:tcPr>
          <w:p>
            <w:pPr>
              <w:ind w:left="280"/>
              <w:spacing w:after="0"/>
              <w:rPr>
                <w:sz w:val="20"/>
                <w:szCs w:val="20"/>
                <w:color w:val="auto"/>
              </w:rPr>
            </w:pPr>
            <w:r>
              <w:rPr>
                <w:rFonts w:ascii="Arial" w:cs="Arial" w:eastAsia="Arial" w:hAnsi="Arial"/>
                <w:sz w:val="22"/>
                <w:szCs w:val="22"/>
                <w:color w:val="auto"/>
              </w:rPr>
              <w:t>Compliance Certificates</w:t>
            </w:r>
          </w:p>
        </w:tc>
        <w:tc>
          <w:tcPr>
            <w:tcW w:w="15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4.4.</w:t>
            </w:r>
          </w:p>
        </w:tc>
        <w:tc>
          <w:tcPr>
            <w:tcW w:w="6160" w:type="dxa"/>
            <w:vAlign w:val="bottom"/>
          </w:tcPr>
          <w:p>
            <w:pPr>
              <w:ind w:left="280"/>
              <w:spacing w:after="0"/>
              <w:rPr>
                <w:sz w:val="20"/>
                <w:szCs w:val="20"/>
                <w:color w:val="auto"/>
              </w:rPr>
            </w:pPr>
            <w:r>
              <w:rPr>
                <w:rFonts w:ascii="Arial" w:cs="Arial" w:eastAsia="Arial" w:hAnsi="Arial"/>
                <w:sz w:val="22"/>
                <w:szCs w:val="22"/>
                <w:color w:val="auto"/>
              </w:rPr>
              <w:t>Opinions of Counsel</w:t>
            </w:r>
          </w:p>
        </w:tc>
        <w:tc>
          <w:tcPr>
            <w:tcW w:w="15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4.5.</w:t>
            </w:r>
          </w:p>
        </w:tc>
        <w:tc>
          <w:tcPr>
            <w:tcW w:w="6160" w:type="dxa"/>
            <w:vAlign w:val="bottom"/>
          </w:tcPr>
          <w:p>
            <w:pPr>
              <w:ind w:left="280"/>
              <w:spacing w:after="0"/>
              <w:rPr>
                <w:sz w:val="20"/>
                <w:szCs w:val="20"/>
                <w:color w:val="auto"/>
              </w:rPr>
            </w:pPr>
            <w:r>
              <w:rPr>
                <w:rFonts w:ascii="Arial" w:cs="Arial" w:eastAsia="Arial" w:hAnsi="Arial"/>
                <w:sz w:val="22"/>
                <w:szCs w:val="22"/>
                <w:color w:val="auto"/>
              </w:rPr>
              <w:t>Purchase Permitted By Applicable Law, Etc</w:t>
            </w:r>
          </w:p>
        </w:tc>
        <w:tc>
          <w:tcPr>
            <w:tcW w:w="15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4.6.</w:t>
            </w:r>
          </w:p>
        </w:tc>
        <w:tc>
          <w:tcPr>
            <w:tcW w:w="6160" w:type="dxa"/>
            <w:vAlign w:val="bottom"/>
          </w:tcPr>
          <w:p>
            <w:pPr>
              <w:ind w:left="280"/>
              <w:spacing w:after="0"/>
              <w:rPr>
                <w:sz w:val="20"/>
                <w:szCs w:val="20"/>
                <w:color w:val="auto"/>
              </w:rPr>
            </w:pPr>
            <w:r>
              <w:rPr>
                <w:rFonts w:ascii="Arial" w:cs="Arial" w:eastAsia="Arial" w:hAnsi="Arial"/>
                <w:sz w:val="22"/>
                <w:szCs w:val="22"/>
                <w:color w:val="auto"/>
              </w:rPr>
              <w:t>Sale of Other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4.7.</w:t>
            </w:r>
          </w:p>
        </w:tc>
        <w:tc>
          <w:tcPr>
            <w:tcW w:w="6160" w:type="dxa"/>
            <w:vAlign w:val="bottom"/>
          </w:tcPr>
          <w:p>
            <w:pPr>
              <w:ind w:left="280"/>
              <w:spacing w:after="0"/>
              <w:rPr>
                <w:sz w:val="20"/>
                <w:szCs w:val="20"/>
                <w:color w:val="auto"/>
              </w:rPr>
            </w:pPr>
            <w:r>
              <w:rPr>
                <w:rFonts w:ascii="Arial" w:cs="Arial" w:eastAsia="Arial" w:hAnsi="Arial"/>
                <w:sz w:val="22"/>
                <w:szCs w:val="22"/>
                <w:color w:val="auto"/>
              </w:rPr>
              <w:t>Payment of Special Counsel Fees</w:t>
            </w:r>
          </w:p>
        </w:tc>
        <w:tc>
          <w:tcPr>
            <w:tcW w:w="15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4.8.</w:t>
            </w:r>
          </w:p>
        </w:tc>
        <w:tc>
          <w:tcPr>
            <w:tcW w:w="6160" w:type="dxa"/>
            <w:vAlign w:val="bottom"/>
          </w:tcPr>
          <w:p>
            <w:pPr>
              <w:ind w:left="280"/>
              <w:spacing w:after="0"/>
              <w:rPr>
                <w:sz w:val="20"/>
                <w:szCs w:val="20"/>
                <w:color w:val="auto"/>
              </w:rPr>
            </w:pPr>
            <w:r>
              <w:rPr>
                <w:rFonts w:ascii="Arial" w:cs="Arial" w:eastAsia="Arial" w:hAnsi="Arial"/>
                <w:sz w:val="22"/>
                <w:szCs w:val="22"/>
                <w:color w:val="auto"/>
              </w:rPr>
              <w:t>Private Placement Number</w:t>
            </w:r>
          </w:p>
        </w:tc>
        <w:tc>
          <w:tcPr>
            <w:tcW w:w="15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4.9.</w:t>
            </w:r>
          </w:p>
        </w:tc>
        <w:tc>
          <w:tcPr>
            <w:tcW w:w="6160" w:type="dxa"/>
            <w:vAlign w:val="bottom"/>
          </w:tcPr>
          <w:p>
            <w:pPr>
              <w:ind w:left="280"/>
              <w:spacing w:after="0"/>
              <w:rPr>
                <w:sz w:val="20"/>
                <w:szCs w:val="20"/>
                <w:color w:val="auto"/>
              </w:rPr>
            </w:pPr>
            <w:r>
              <w:rPr>
                <w:rFonts w:ascii="Arial" w:cs="Arial" w:eastAsia="Arial" w:hAnsi="Arial"/>
                <w:sz w:val="22"/>
                <w:szCs w:val="22"/>
                <w:color w:val="auto"/>
              </w:rPr>
              <w:t>Changes in Structure</w:t>
            </w:r>
          </w:p>
        </w:tc>
        <w:tc>
          <w:tcPr>
            <w:tcW w:w="15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4.10.</w:t>
            </w:r>
          </w:p>
        </w:tc>
        <w:tc>
          <w:tcPr>
            <w:tcW w:w="6160" w:type="dxa"/>
            <w:vAlign w:val="bottom"/>
          </w:tcPr>
          <w:p>
            <w:pPr>
              <w:ind w:left="280"/>
              <w:spacing w:after="0"/>
              <w:rPr>
                <w:sz w:val="20"/>
                <w:szCs w:val="20"/>
                <w:color w:val="auto"/>
              </w:rPr>
            </w:pPr>
            <w:r>
              <w:rPr>
                <w:rFonts w:ascii="Arial" w:cs="Arial" w:eastAsia="Arial" w:hAnsi="Arial"/>
                <w:sz w:val="22"/>
                <w:szCs w:val="22"/>
                <w:color w:val="auto"/>
              </w:rPr>
              <w:t>Funding Instructions</w:t>
            </w:r>
          </w:p>
        </w:tc>
        <w:tc>
          <w:tcPr>
            <w:tcW w:w="15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4.11.</w:t>
            </w:r>
          </w:p>
        </w:tc>
        <w:tc>
          <w:tcPr>
            <w:tcW w:w="6160" w:type="dxa"/>
            <w:vAlign w:val="bottom"/>
          </w:tcPr>
          <w:p>
            <w:pPr>
              <w:ind w:left="280"/>
              <w:spacing w:after="0"/>
              <w:rPr>
                <w:sz w:val="20"/>
                <w:szCs w:val="20"/>
                <w:color w:val="auto"/>
              </w:rPr>
            </w:pPr>
            <w:r>
              <w:rPr>
                <w:rFonts w:ascii="Arial" w:cs="Arial" w:eastAsia="Arial" w:hAnsi="Arial"/>
                <w:sz w:val="22"/>
                <w:szCs w:val="22"/>
                <w:color w:val="auto"/>
              </w:rPr>
              <w:t>Proceedings and Documents</w:t>
            </w:r>
          </w:p>
        </w:tc>
        <w:tc>
          <w:tcPr>
            <w:tcW w:w="15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4.12.</w:t>
            </w:r>
          </w:p>
        </w:tc>
        <w:tc>
          <w:tcPr>
            <w:tcW w:w="6160" w:type="dxa"/>
            <w:vAlign w:val="bottom"/>
          </w:tcPr>
          <w:p>
            <w:pPr>
              <w:ind w:left="280"/>
              <w:spacing w:after="0"/>
              <w:rPr>
                <w:sz w:val="20"/>
                <w:szCs w:val="20"/>
                <w:color w:val="auto"/>
              </w:rPr>
            </w:pPr>
            <w:r>
              <w:rPr>
                <w:rFonts w:ascii="Arial" w:cs="Arial" w:eastAsia="Arial" w:hAnsi="Arial"/>
                <w:sz w:val="22"/>
                <w:szCs w:val="22"/>
                <w:color w:val="auto"/>
              </w:rPr>
              <w:t>Affiliate Guaranty</w:t>
            </w:r>
          </w:p>
        </w:tc>
        <w:tc>
          <w:tcPr>
            <w:tcW w:w="15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4.13.</w:t>
            </w:r>
          </w:p>
        </w:tc>
        <w:tc>
          <w:tcPr>
            <w:tcW w:w="6160" w:type="dxa"/>
            <w:vAlign w:val="bottom"/>
          </w:tcPr>
          <w:p>
            <w:pPr>
              <w:ind w:left="280"/>
              <w:spacing w:after="0"/>
              <w:rPr>
                <w:sz w:val="20"/>
                <w:szCs w:val="20"/>
                <w:color w:val="auto"/>
              </w:rPr>
            </w:pPr>
            <w:r>
              <w:rPr>
                <w:rFonts w:ascii="Arial" w:cs="Arial" w:eastAsia="Arial" w:hAnsi="Arial"/>
                <w:sz w:val="22"/>
                <w:szCs w:val="22"/>
                <w:color w:val="auto"/>
              </w:rPr>
              <w:t>Primary Credit Facility Consent</w:t>
            </w:r>
          </w:p>
        </w:tc>
        <w:tc>
          <w:tcPr>
            <w:tcW w:w="15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4.14.</w:t>
            </w:r>
          </w:p>
        </w:tc>
        <w:tc>
          <w:tcPr>
            <w:tcW w:w="6160" w:type="dxa"/>
            <w:vAlign w:val="bottom"/>
          </w:tcPr>
          <w:p>
            <w:pPr>
              <w:ind w:left="280"/>
              <w:spacing w:after="0"/>
              <w:rPr>
                <w:sz w:val="20"/>
                <w:szCs w:val="20"/>
                <w:color w:val="auto"/>
              </w:rPr>
            </w:pPr>
            <w:r>
              <w:rPr>
                <w:rFonts w:ascii="Arial" w:cs="Arial" w:eastAsia="Arial" w:hAnsi="Arial"/>
                <w:sz w:val="22"/>
                <w:szCs w:val="22"/>
                <w:color w:val="auto"/>
              </w:rPr>
              <w:t>Completion of Closings</w:t>
            </w:r>
          </w:p>
        </w:tc>
        <w:tc>
          <w:tcPr>
            <w:tcW w:w="15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657"/>
        </w:trPr>
        <w:tc>
          <w:tcPr>
            <w:tcW w:w="1420" w:type="dxa"/>
            <w:vAlign w:val="bottom"/>
          </w:tcPr>
          <w:p>
            <w:pPr>
              <w:spacing w:after="0"/>
              <w:rPr>
                <w:sz w:val="20"/>
                <w:szCs w:val="20"/>
                <w:color w:val="auto"/>
              </w:rPr>
            </w:pPr>
            <w:r>
              <w:rPr>
                <w:rFonts w:ascii="Arial" w:cs="Arial" w:eastAsia="Arial" w:hAnsi="Arial"/>
                <w:sz w:val="22"/>
                <w:szCs w:val="22"/>
                <w:color w:val="auto"/>
              </w:rPr>
              <w:t>SECTION 5.</w:t>
            </w:r>
          </w:p>
        </w:tc>
        <w:tc>
          <w:tcPr>
            <w:tcW w:w="6980" w:type="dxa"/>
            <w:vAlign w:val="bottom"/>
            <w:gridSpan w:val="2"/>
          </w:tcPr>
          <w:p>
            <w:pPr>
              <w:ind w:left="280"/>
              <w:spacing w:after="0"/>
              <w:rPr>
                <w:sz w:val="20"/>
                <w:szCs w:val="20"/>
                <w:color w:val="auto"/>
              </w:rPr>
            </w:pPr>
            <w:r>
              <w:rPr>
                <w:rFonts w:ascii="Arial" w:cs="Arial" w:eastAsia="Arial" w:hAnsi="Arial"/>
                <w:sz w:val="22"/>
                <w:szCs w:val="22"/>
                <w:color w:val="auto"/>
              </w:rPr>
              <w:t>REPRESENTATIONS AND WARRANTIES OF THE</w:t>
            </w:r>
          </w:p>
        </w:tc>
        <w:tc>
          <w:tcPr>
            <w:tcW w:w="1540" w:type="dxa"/>
            <w:vAlign w:val="bottom"/>
          </w:tcPr>
          <w:p>
            <w:pPr>
              <w:spacing w:after="0"/>
              <w:rPr>
                <w:sz w:val="24"/>
                <w:szCs w:val="24"/>
                <w:color w:val="auto"/>
              </w:rPr>
            </w:pPr>
          </w:p>
        </w:tc>
      </w:tr>
      <w:tr>
        <w:trPr>
          <w:trHeight w:val="275"/>
        </w:trPr>
        <w:tc>
          <w:tcPr>
            <w:tcW w:w="1420" w:type="dxa"/>
            <w:vAlign w:val="bottom"/>
          </w:tcPr>
          <w:p>
            <w:pPr>
              <w:spacing w:after="0"/>
              <w:rPr>
                <w:sz w:val="23"/>
                <w:szCs w:val="23"/>
                <w:color w:val="auto"/>
              </w:rPr>
            </w:pPr>
          </w:p>
        </w:tc>
        <w:tc>
          <w:tcPr>
            <w:tcW w:w="6980" w:type="dxa"/>
            <w:vAlign w:val="bottom"/>
            <w:gridSpan w:val="2"/>
          </w:tcPr>
          <w:p>
            <w:pPr>
              <w:ind w:left="280"/>
              <w:spacing w:after="0"/>
              <w:rPr>
                <w:sz w:val="20"/>
                <w:szCs w:val="20"/>
                <w:color w:val="auto"/>
              </w:rPr>
            </w:pPr>
            <w:r>
              <w:rPr>
                <w:rFonts w:ascii="Arial" w:cs="Arial" w:eastAsia="Arial" w:hAnsi="Arial"/>
                <w:sz w:val="22"/>
                <w:szCs w:val="22"/>
                <w:color w:val="auto"/>
              </w:rPr>
              <w:t>COMPANY</w:t>
            </w:r>
          </w:p>
        </w:tc>
        <w:tc>
          <w:tcPr>
            <w:tcW w:w="15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5.1.</w:t>
            </w:r>
          </w:p>
        </w:tc>
        <w:tc>
          <w:tcPr>
            <w:tcW w:w="6160" w:type="dxa"/>
            <w:vAlign w:val="bottom"/>
          </w:tcPr>
          <w:p>
            <w:pPr>
              <w:ind w:left="280"/>
              <w:spacing w:after="0"/>
              <w:rPr>
                <w:sz w:val="20"/>
                <w:szCs w:val="20"/>
                <w:color w:val="auto"/>
              </w:rPr>
            </w:pPr>
            <w:r>
              <w:rPr>
                <w:rFonts w:ascii="Arial" w:cs="Arial" w:eastAsia="Arial" w:hAnsi="Arial"/>
                <w:sz w:val="22"/>
                <w:szCs w:val="22"/>
                <w:color w:val="auto"/>
              </w:rPr>
              <w:t>Organization; Power and Authority</w:t>
            </w:r>
          </w:p>
        </w:tc>
        <w:tc>
          <w:tcPr>
            <w:tcW w:w="15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5.2.</w:t>
            </w:r>
          </w:p>
        </w:tc>
        <w:tc>
          <w:tcPr>
            <w:tcW w:w="6160" w:type="dxa"/>
            <w:vAlign w:val="bottom"/>
          </w:tcPr>
          <w:p>
            <w:pPr>
              <w:ind w:left="280"/>
              <w:spacing w:after="0"/>
              <w:rPr>
                <w:sz w:val="20"/>
                <w:szCs w:val="20"/>
                <w:color w:val="auto"/>
              </w:rPr>
            </w:pPr>
            <w:r>
              <w:rPr>
                <w:rFonts w:ascii="Arial" w:cs="Arial" w:eastAsia="Arial" w:hAnsi="Arial"/>
                <w:sz w:val="22"/>
                <w:szCs w:val="22"/>
                <w:color w:val="auto"/>
              </w:rPr>
              <w:t>Authorization, Etc</w:t>
            </w:r>
          </w:p>
        </w:tc>
        <w:tc>
          <w:tcPr>
            <w:tcW w:w="15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5.3.</w:t>
            </w:r>
          </w:p>
        </w:tc>
        <w:tc>
          <w:tcPr>
            <w:tcW w:w="6160" w:type="dxa"/>
            <w:vAlign w:val="bottom"/>
          </w:tcPr>
          <w:p>
            <w:pPr>
              <w:ind w:left="280"/>
              <w:spacing w:after="0"/>
              <w:rPr>
                <w:sz w:val="20"/>
                <w:szCs w:val="20"/>
                <w:color w:val="auto"/>
              </w:rPr>
            </w:pPr>
            <w:r>
              <w:rPr>
                <w:rFonts w:ascii="Arial" w:cs="Arial" w:eastAsia="Arial" w:hAnsi="Arial"/>
                <w:sz w:val="22"/>
                <w:szCs w:val="22"/>
                <w:color w:val="auto"/>
              </w:rPr>
              <w:t>Disclosure</w:t>
            </w:r>
          </w:p>
        </w:tc>
        <w:tc>
          <w:tcPr>
            <w:tcW w:w="15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66"/>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5.4.</w:t>
            </w:r>
          </w:p>
        </w:tc>
        <w:tc>
          <w:tcPr>
            <w:tcW w:w="6160" w:type="dxa"/>
            <w:vAlign w:val="bottom"/>
          </w:tcPr>
          <w:p>
            <w:pPr>
              <w:ind w:left="280"/>
              <w:spacing w:after="0"/>
              <w:rPr>
                <w:sz w:val="20"/>
                <w:szCs w:val="20"/>
                <w:color w:val="auto"/>
              </w:rPr>
            </w:pPr>
            <w:r>
              <w:rPr>
                <w:rFonts w:ascii="Arial" w:cs="Arial" w:eastAsia="Arial" w:hAnsi="Arial"/>
                <w:sz w:val="22"/>
                <w:szCs w:val="22"/>
                <w:color w:val="auto"/>
              </w:rPr>
              <w:t>Organization and Ownership of Shares of Subsidiaries;</w:t>
            </w:r>
          </w:p>
        </w:tc>
        <w:tc>
          <w:tcPr>
            <w:tcW w:w="1540" w:type="dxa"/>
            <w:vAlign w:val="bottom"/>
          </w:tcPr>
          <w:p>
            <w:pPr>
              <w:spacing w:after="0"/>
              <w:rPr>
                <w:sz w:val="23"/>
                <w:szCs w:val="23"/>
                <w:color w:val="auto"/>
              </w:rPr>
            </w:pPr>
          </w:p>
        </w:tc>
      </w:tr>
      <w:tr>
        <w:trPr>
          <w:trHeight w:val="275"/>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160" w:type="dxa"/>
            <w:vAlign w:val="bottom"/>
          </w:tcPr>
          <w:p>
            <w:pPr>
              <w:ind w:left="280"/>
              <w:spacing w:after="0"/>
              <w:rPr>
                <w:sz w:val="20"/>
                <w:szCs w:val="20"/>
                <w:color w:val="auto"/>
              </w:rPr>
            </w:pPr>
            <w:r>
              <w:rPr>
                <w:rFonts w:ascii="Arial" w:cs="Arial" w:eastAsia="Arial" w:hAnsi="Arial"/>
                <w:sz w:val="22"/>
                <w:szCs w:val="22"/>
                <w:color w:val="auto"/>
              </w:rPr>
              <w:t>Affiliates</w:t>
            </w:r>
          </w:p>
        </w:tc>
        <w:tc>
          <w:tcPr>
            <w:tcW w:w="15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5.5.</w:t>
            </w:r>
          </w:p>
        </w:tc>
        <w:tc>
          <w:tcPr>
            <w:tcW w:w="6160" w:type="dxa"/>
            <w:vAlign w:val="bottom"/>
          </w:tcPr>
          <w:p>
            <w:pPr>
              <w:ind w:left="280"/>
              <w:spacing w:after="0"/>
              <w:rPr>
                <w:sz w:val="20"/>
                <w:szCs w:val="20"/>
                <w:color w:val="auto"/>
              </w:rPr>
            </w:pPr>
            <w:r>
              <w:rPr>
                <w:rFonts w:ascii="Arial" w:cs="Arial" w:eastAsia="Arial" w:hAnsi="Arial"/>
                <w:sz w:val="22"/>
                <w:szCs w:val="22"/>
                <w:color w:val="auto"/>
              </w:rPr>
              <w:t>Financial Statements; Material Liabilities</w:t>
            </w:r>
          </w:p>
        </w:tc>
        <w:tc>
          <w:tcPr>
            <w:tcW w:w="15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5.6.</w:t>
            </w:r>
          </w:p>
        </w:tc>
        <w:tc>
          <w:tcPr>
            <w:tcW w:w="6160" w:type="dxa"/>
            <w:vAlign w:val="bottom"/>
          </w:tcPr>
          <w:p>
            <w:pPr>
              <w:ind w:left="280"/>
              <w:spacing w:after="0"/>
              <w:rPr>
                <w:sz w:val="20"/>
                <w:szCs w:val="20"/>
                <w:color w:val="auto"/>
              </w:rPr>
            </w:pPr>
            <w:r>
              <w:rPr>
                <w:rFonts w:ascii="Arial" w:cs="Arial" w:eastAsia="Arial" w:hAnsi="Arial"/>
                <w:sz w:val="22"/>
                <w:szCs w:val="22"/>
                <w:color w:val="auto"/>
              </w:rPr>
              <w:t>Compliance with Laws, Other Instruments, Etc</w:t>
            </w:r>
          </w:p>
        </w:tc>
        <w:tc>
          <w:tcPr>
            <w:tcW w:w="15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5.7.</w:t>
            </w:r>
          </w:p>
        </w:tc>
        <w:tc>
          <w:tcPr>
            <w:tcW w:w="6160" w:type="dxa"/>
            <w:vAlign w:val="bottom"/>
          </w:tcPr>
          <w:p>
            <w:pPr>
              <w:ind w:left="280"/>
              <w:spacing w:after="0"/>
              <w:rPr>
                <w:sz w:val="20"/>
                <w:szCs w:val="20"/>
                <w:color w:val="auto"/>
              </w:rPr>
            </w:pPr>
            <w:r>
              <w:rPr>
                <w:rFonts w:ascii="Arial" w:cs="Arial" w:eastAsia="Arial" w:hAnsi="Arial"/>
                <w:sz w:val="22"/>
                <w:szCs w:val="22"/>
                <w:color w:val="auto"/>
              </w:rPr>
              <w:t>Governmental Authorizations, Etc</w:t>
            </w:r>
          </w:p>
        </w:tc>
        <w:tc>
          <w:tcPr>
            <w:tcW w:w="15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66"/>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5.8.</w:t>
            </w:r>
          </w:p>
        </w:tc>
        <w:tc>
          <w:tcPr>
            <w:tcW w:w="6160" w:type="dxa"/>
            <w:vAlign w:val="bottom"/>
          </w:tcPr>
          <w:p>
            <w:pPr>
              <w:ind w:left="280"/>
              <w:spacing w:after="0"/>
              <w:rPr>
                <w:sz w:val="20"/>
                <w:szCs w:val="20"/>
                <w:color w:val="auto"/>
              </w:rPr>
            </w:pPr>
            <w:r>
              <w:rPr>
                <w:rFonts w:ascii="Arial" w:cs="Arial" w:eastAsia="Arial" w:hAnsi="Arial"/>
                <w:sz w:val="22"/>
                <w:szCs w:val="22"/>
                <w:color w:val="auto"/>
              </w:rPr>
              <w:t>Litigation; Observance of Agreements, Statutes and</w:t>
            </w:r>
          </w:p>
        </w:tc>
        <w:tc>
          <w:tcPr>
            <w:tcW w:w="1540" w:type="dxa"/>
            <w:vAlign w:val="bottom"/>
          </w:tcPr>
          <w:p>
            <w:pPr>
              <w:spacing w:after="0"/>
              <w:rPr>
                <w:sz w:val="23"/>
                <w:szCs w:val="23"/>
                <w:color w:val="auto"/>
              </w:rPr>
            </w:pPr>
          </w:p>
        </w:tc>
      </w:tr>
      <w:tr>
        <w:trPr>
          <w:trHeight w:val="275"/>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160" w:type="dxa"/>
            <w:vAlign w:val="bottom"/>
          </w:tcPr>
          <w:p>
            <w:pPr>
              <w:ind w:left="280"/>
              <w:spacing w:after="0"/>
              <w:rPr>
                <w:sz w:val="20"/>
                <w:szCs w:val="20"/>
                <w:color w:val="auto"/>
              </w:rPr>
            </w:pPr>
            <w:r>
              <w:rPr>
                <w:rFonts w:ascii="Arial" w:cs="Arial" w:eastAsia="Arial" w:hAnsi="Arial"/>
                <w:sz w:val="22"/>
                <w:szCs w:val="22"/>
                <w:color w:val="auto"/>
              </w:rPr>
              <w:t>Orders</w:t>
            </w:r>
          </w:p>
        </w:tc>
        <w:tc>
          <w:tcPr>
            <w:tcW w:w="15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5.9.</w:t>
            </w:r>
          </w:p>
        </w:tc>
        <w:tc>
          <w:tcPr>
            <w:tcW w:w="6160" w:type="dxa"/>
            <w:vAlign w:val="bottom"/>
          </w:tcPr>
          <w:p>
            <w:pPr>
              <w:ind w:left="280"/>
              <w:spacing w:after="0"/>
              <w:rPr>
                <w:sz w:val="20"/>
                <w:szCs w:val="20"/>
                <w:color w:val="auto"/>
              </w:rPr>
            </w:pPr>
            <w:r>
              <w:rPr>
                <w:rFonts w:ascii="Arial" w:cs="Arial" w:eastAsia="Arial" w:hAnsi="Arial"/>
                <w:sz w:val="22"/>
                <w:szCs w:val="22"/>
                <w:color w:val="auto"/>
              </w:rPr>
              <w:t>Taxes</w:t>
            </w:r>
          </w:p>
        </w:tc>
        <w:tc>
          <w:tcPr>
            <w:tcW w:w="1540" w:type="dxa"/>
            <w:vAlign w:val="bottom"/>
          </w:tcPr>
          <w:p>
            <w:pPr>
              <w:jc w:val="right"/>
              <w:spacing w:after="0"/>
              <w:rPr>
                <w:sz w:val="20"/>
                <w:szCs w:val="20"/>
                <w:color w:val="auto"/>
              </w:rPr>
            </w:pPr>
            <w:r>
              <w:rPr>
                <w:rFonts w:ascii="Arial" w:cs="Arial" w:eastAsia="Arial" w:hAnsi="Arial"/>
                <w:sz w:val="22"/>
                <w:szCs w:val="22"/>
                <w:color w:val="auto"/>
              </w:rPr>
              <w:t>9</w:t>
            </w:r>
          </w:p>
        </w:tc>
      </w:tr>
    </w:tbl>
    <w:p>
      <w:pPr>
        <w:spacing w:after="0" w:line="266" w:lineRule="exact"/>
        <w:rPr>
          <w:sz w:val="20"/>
          <w:szCs w:val="20"/>
          <w:color w:val="auto"/>
        </w:rPr>
      </w:pPr>
    </w:p>
    <w:p>
      <w:pPr>
        <w:jc w:val="center"/>
        <w:ind w:right="-119"/>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i</w:t>
      </w:r>
      <w:r>
        <w:rPr>
          <w:rFonts w:ascii="MS PGothic" w:cs="MS PGothic" w:eastAsia="MS PGothic" w:hAnsi="MS PGothic"/>
          <w:sz w:val="22"/>
          <w:szCs w:val="22"/>
          <w:color w:val="auto"/>
        </w:rPr>
        <w:t>‑</w:t>
      </w:r>
    </w:p>
    <w:p>
      <w:pPr>
        <w:sectPr>
          <w:pgSz w:w="11900" w:h="16838" w:orient="portrait"/>
          <w:cols w:equalWidth="0" w:num="1">
            <w:col w:w="9940"/>
          </w:cols>
          <w:pgMar w:left="920" w:top="679" w:right="10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5"/>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5.10.</w:t>
            </w:r>
          </w:p>
        </w:tc>
        <w:tc>
          <w:tcPr>
            <w:tcW w:w="6000" w:type="dxa"/>
            <w:vAlign w:val="bottom"/>
          </w:tcPr>
          <w:p>
            <w:pPr>
              <w:ind w:left="280"/>
              <w:spacing w:after="0"/>
              <w:rPr>
                <w:sz w:val="20"/>
                <w:szCs w:val="20"/>
                <w:color w:val="auto"/>
              </w:rPr>
            </w:pPr>
            <w:r>
              <w:rPr>
                <w:rFonts w:ascii="Arial" w:cs="Arial" w:eastAsia="Arial" w:hAnsi="Arial"/>
                <w:sz w:val="22"/>
                <w:szCs w:val="22"/>
                <w:color w:val="auto"/>
              </w:rPr>
              <w:t>Title to Property; Leases</w:t>
            </w:r>
          </w:p>
        </w:tc>
        <w:tc>
          <w:tcPr>
            <w:tcW w:w="16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5.11.</w:t>
            </w:r>
          </w:p>
        </w:tc>
        <w:tc>
          <w:tcPr>
            <w:tcW w:w="6000" w:type="dxa"/>
            <w:vAlign w:val="bottom"/>
          </w:tcPr>
          <w:p>
            <w:pPr>
              <w:ind w:left="280"/>
              <w:spacing w:after="0"/>
              <w:rPr>
                <w:sz w:val="20"/>
                <w:szCs w:val="20"/>
                <w:color w:val="auto"/>
              </w:rPr>
            </w:pPr>
            <w:r>
              <w:rPr>
                <w:rFonts w:ascii="Arial" w:cs="Arial" w:eastAsia="Arial" w:hAnsi="Arial"/>
                <w:sz w:val="22"/>
                <w:szCs w:val="22"/>
                <w:color w:val="auto"/>
              </w:rPr>
              <w:t>Licenses, Permits, Etc</w:t>
            </w:r>
          </w:p>
        </w:tc>
        <w:tc>
          <w:tcPr>
            <w:tcW w:w="16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5.12.</w:t>
            </w:r>
          </w:p>
        </w:tc>
        <w:tc>
          <w:tcPr>
            <w:tcW w:w="6000" w:type="dxa"/>
            <w:vAlign w:val="bottom"/>
          </w:tcPr>
          <w:p>
            <w:pPr>
              <w:ind w:left="280"/>
              <w:spacing w:after="0"/>
              <w:rPr>
                <w:sz w:val="20"/>
                <w:szCs w:val="20"/>
                <w:color w:val="auto"/>
              </w:rPr>
            </w:pPr>
            <w:r>
              <w:rPr>
                <w:rFonts w:ascii="Arial" w:cs="Arial" w:eastAsia="Arial" w:hAnsi="Arial"/>
                <w:sz w:val="22"/>
                <w:szCs w:val="22"/>
                <w:color w:val="auto"/>
              </w:rPr>
              <w:t>Compliance with ERISA</w:t>
            </w:r>
          </w:p>
        </w:tc>
        <w:tc>
          <w:tcPr>
            <w:tcW w:w="16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5.13.</w:t>
            </w:r>
          </w:p>
        </w:tc>
        <w:tc>
          <w:tcPr>
            <w:tcW w:w="6000" w:type="dxa"/>
            <w:vAlign w:val="bottom"/>
          </w:tcPr>
          <w:p>
            <w:pPr>
              <w:ind w:left="280"/>
              <w:spacing w:after="0"/>
              <w:rPr>
                <w:sz w:val="20"/>
                <w:szCs w:val="20"/>
                <w:color w:val="auto"/>
              </w:rPr>
            </w:pPr>
            <w:r>
              <w:rPr>
                <w:rFonts w:ascii="Arial" w:cs="Arial" w:eastAsia="Arial" w:hAnsi="Arial"/>
                <w:sz w:val="22"/>
                <w:szCs w:val="22"/>
                <w:color w:val="auto"/>
              </w:rPr>
              <w:t>Private Offering by the Company</w:t>
            </w:r>
          </w:p>
        </w:tc>
        <w:tc>
          <w:tcPr>
            <w:tcW w:w="16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5.14.</w:t>
            </w:r>
          </w:p>
        </w:tc>
        <w:tc>
          <w:tcPr>
            <w:tcW w:w="6000" w:type="dxa"/>
            <w:vAlign w:val="bottom"/>
          </w:tcPr>
          <w:p>
            <w:pPr>
              <w:ind w:left="280"/>
              <w:spacing w:after="0"/>
              <w:rPr>
                <w:sz w:val="20"/>
                <w:szCs w:val="20"/>
                <w:color w:val="auto"/>
              </w:rPr>
            </w:pPr>
            <w:r>
              <w:rPr>
                <w:rFonts w:ascii="Arial" w:cs="Arial" w:eastAsia="Arial" w:hAnsi="Arial"/>
                <w:sz w:val="22"/>
                <w:szCs w:val="22"/>
                <w:color w:val="auto"/>
              </w:rPr>
              <w:t>Use of Proceeds; Margin Regulations</w:t>
            </w:r>
          </w:p>
        </w:tc>
        <w:tc>
          <w:tcPr>
            <w:tcW w:w="16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5.15.</w:t>
            </w:r>
          </w:p>
        </w:tc>
        <w:tc>
          <w:tcPr>
            <w:tcW w:w="6000" w:type="dxa"/>
            <w:vAlign w:val="bottom"/>
          </w:tcPr>
          <w:p>
            <w:pPr>
              <w:ind w:left="280"/>
              <w:spacing w:after="0"/>
              <w:rPr>
                <w:sz w:val="20"/>
                <w:szCs w:val="20"/>
                <w:color w:val="auto"/>
              </w:rPr>
            </w:pPr>
            <w:r>
              <w:rPr>
                <w:rFonts w:ascii="Arial" w:cs="Arial" w:eastAsia="Arial" w:hAnsi="Arial"/>
                <w:sz w:val="22"/>
                <w:szCs w:val="22"/>
                <w:color w:val="auto"/>
              </w:rPr>
              <w:t>Existing Indebtedness; Future Liens</w:t>
            </w:r>
          </w:p>
        </w:tc>
        <w:tc>
          <w:tcPr>
            <w:tcW w:w="16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5.16.</w:t>
            </w:r>
          </w:p>
        </w:tc>
        <w:tc>
          <w:tcPr>
            <w:tcW w:w="6000" w:type="dxa"/>
            <w:vAlign w:val="bottom"/>
          </w:tcPr>
          <w:p>
            <w:pPr>
              <w:ind w:left="280"/>
              <w:spacing w:after="0"/>
              <w:rPr>
                <w:sz w:val="20"/>
                <w:szCs w:val="20"/>
                <w:color w:val="auto"/>
              </w:rPr>
            </w:pPr>
            <w:r>
              <w:rPr>
                <w:rFonts w:ascii="Arial" w:cs="Arial" w:eastAsia="Arial" w:hAnsi="Arial"/>
                <w:sz w:val="22"/>
                <w:szCs w:val="22"/>
                <w:color w:val="auto"/>
              </w:rPr>
              <w:t>Foreign Assets Control Regulations, Etc</w:t>
            </w:r>
          </w:p>
        </w:tc>
        <w:tc>
          <w:tcPr>
            <w:tcW w:w="16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5.17.</w:t>
            </w:r>
          </w:p>
        </w:tc>
        <w:tc>
          <w:tcPr>
            <w:tcW w:w="6000" w:type="dxa"/>
            <w:vAlign w:val="bottom"/>
          </w:tcPr>
          <w:p>
            <w:pPr>
              <w:ind w:left="280"/>
              <w:spacing w:after="0"/>
              <w:rPr>
                <w:sz w:val="20"/>
                <w:szCs w:val="20"/>
                <w:color w:val="auto"/>
              </w:rPr>
            </w:pPr>
            <w:r>
              <w:rPr>
                <w:rFonts w:ascii="Arial" w:cs="Arial" w:eastAsia="Arial" w:hAnsi="Arial"/>
                <w:sz w:val="22"/>
                <w:szCs w:val="22"/>
                <w:color w:val="auto"/>
              </w:rPr>
              <w:t>Status under Certain Statutes</w:t>
            </w:r>
          </w:p>
        </w:tc>
        <w:tc>
          <w:tcPr>
            <w:tcW w:w="16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5.18.</w:t>
            </w:r>
          </w:p>
        </w:tc>
        <w:tc>
          <w:tcPr>
            <w:tcW w:w="6000" w:type="dxa"/>
            <w:vAlign w:val="bottom"/>
          </w:tcPr>
          <w:p>
            <w:pPr>
              <w:ind w:left="280"/>
              <w:spacing w:after="0"/>
              <w:rPr>
                <w:sz w:val="20"/>
                <w:szCs w:val="20"/>
                <w:color w:val="auto"/>
              </w:rPr>
            </w:pPr>
            <w:r>
              <w:rPr>
                <w:rFonts w:ascii="Arial" w:cs="Arial" w:eastAsia="Arial" w:hAnsi="Arial"/>
                <w:sz w:val="22"/>
                <w:szCs w:val="22"/>
                <w:color w:val="auto"/>
              </w:rPr>
              <w:t>Environmental Matters</w:t>
            </w:r>
          </w:p>
        </w:tc>
        <w:tc>
          <w:tcPr>
            <w:tcW w:w="16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5.19.</w:t>
            </w:r>
          </w:p>
        </w:tc>
        <w:tc>
          <w:tcPr>
            <w:tcW w:w="6000" w:type="dxa"/>
            <w:vAlign w:val="bottom"/>
          </w:tcPr>
          <w:p>
            <w:pPr>
              <w:ind w:left="280"/>
              <w:spacing w:after="0"/>
              <w:rPr>
                <w:sz w:val="20"/>
                <w:szCs w:val="20"/>
                <w:color w:val="auto"/>
              </w:rPr>
            </w:pPr>
            <w:r>
              <w:rPr>
                <w:rFonts w:ascii="Arial" w:cs="Arial" w:eastAsia="Arial" w:hAnsi="Arial"/>
                <w:sz w:val="22"/>
                <w:szCs w:val="22"/>
                <w:color w:val="auto"/>
              </w:rPr>
              <w:t>Solvency</w:t>
            </w:r>
          </w:p>
        </w:tc>
        <w:tc>
          <w:tcPr>
            <w:tcW w:w="16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5.20.</w:t>
            </w:r>
          </w:p>
        </w:tc>
        <w:tc>
          <w:tcPr>
            <w:tcW w:w="6000" w:type="dxa"/>
            <w:vAlign w:val="bottom"/>
          </w:tcPr>
          <w:p>
            <w:pPr>
              <w:ind w:left="280"/>
              <w:spacing w:after="0"/>
              <w:rPr>
                <w:sz w:val="20"/>
                <w:szCs w:val="20"/>
                <w:color w:val="auto"/>
              </w:rPr>
            </w:pPr>
            <w:r>
              <w:rPr>
                <w:rFonts w:ascii="Arial" w:cs="Arial" w:eastAsia="Arial" w:hAnsi="Arial"/>
                <w:sz w:val="22"/>
                <w:szCs w:val="22"/>
                <w:color w:val="auto"/>
              </w:rPr>
              <w:t>Real Estate Investment Trust Status</w:t>
            </w:r>
          </w:p>
        </w:tc>
        <w:tc>
          <w:tcPr>
            <w:tcW w:w="16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689"/>
        </w:trPr>
        <w:tc>
          <w:tcPr>
            <w:tcW w:w="1400" w:type="dxa"/>
            <w:vAlign w:val="bottom"/>
          </w:tcPr>
          <w:p>
            <w:pPr>
              <w:spacing w:after="0"/>
              <w:rPr>
                <w:sz w:val="20"/>
                <w:szCs w:val="20"/>
                <w:color w:val="auto"/>
              </w:rPr>
            </w:pPr>
            <w:r>
              <w:rPr>
                <w:rFonts w:ascii="Arial" w:cs="Arial" w:eastAsia="Arial" w:hAnsi="Arial"/>
                <w:sz w:val="22"/>
                <w:szCs w:val="22"/>
                <w:color w:val="auto"/>
              </w:rPr>
              <w:t>SECTION 6</w:t>
            </w:r>
          </w:p>
        </w:tc>
        <w:tc>
          <w:tcPr>
            <w:tcW w:w="6840" w:type="dxa"/>
            <w:vAlign w:val="bottom"/>
            <w:gridSpan w:val="2"/>
          </w:tcPr>
          <w:p>
            <w:pPr>
              <w:ind w:left="300"/>
              <w:spacing w:after="0"/>
              <w:rPr>
                <w:sz w:val="20"/>
                <w:szCs w:val="20"/>
                <w:color w:val="auto"/>
              </w:rPr>
            </w:pPr>
            <w:r>
              <w:rPr>
                <w:rFonts w:ascii="Arial" w:cs="Arial" w:eastAsia="Arial" w:hAnsi="Arial"/>
                <w:sz w:val="22"/>
                <w:szCs w:val="22"/>
                <w:color w:val="auto"/>
              </w:rPr>
              <w:t>REPRESENTATIONS OF THE PURCHASERS</w:t>
            </w:r>
          </w:p>
        </w:tc>
        <w:tc>
          <w:tcPr>
            <w:tcW w:w="16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6.1.</w:t>
            </w:r>
          </w:p>
        </w:tc>
        <w:tc>
          <w:tcPr>
            <w:tcW w:w="6000" w:type="dxa"/>
            <w:vAlign w:val="bottom"/>
          </w:tcPr>
          <w:p>
            <w:pPr>
              <w:ind w:left="280"/>
              <w:spacing w:after="0"/>
              <w:rPr>
                <w:sz w:val="20"/>
                <w:szCs w:val="20"/>
                <w:color w:val="auto"/>
              </w:rPr>
            </w:pPr>
            <w:r>
              <w:rPr>
                <w:rFonts w:ascii="Arial" w:cs="Arial" w:eastAsia="Arial" w:hAnsi="Arial"/>
                <w:sz w:val="22"/>
                <w:szCs w:val="22"/>
                <w:color w:val="auto"/>
              </w:rPr>
              <w:t>Purchase for Investment; Purchase by Affiliates</w:t>
            </w:r>
          </w:p>
        </w:tc>
        <w:tc>
          <w:tcPr>
            <w:tcW w:w="16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6.2.</w:t>
            </w:r>
          </w:p>
        </w:tc>
        <w:tc>
          <w:tcPr>
            <w:tcW w:w="6000" w:type="dxa"/>
            <w:vAlign w:val="bottom"/>
          </w:tcPr>
          <w:p>
            <w:pPr>
              <w:ind w:left="280"/>
              <w:spacing w:after="0"/>
              <w:rPr>
                <w:sz w:val="20"/>
                <w:szCs w:val="20"/>
                <w:color w:val="auto"/>
              </w:rPr>
            </w:pPr>
            <w:r>
              <w:rPr>
                <w:rFonts w:ascii="Arial" w:cs="Arial" w:eastAsia="Arial" w:hAnsi="Arial"/>
                <w:sz w:val="22"/>
                <w:szCs w:val="22"/>
                <w:color w:val="auto"/>
              </w:rPr>
              <w:t>Source of Funds</w:t>
            </w:r>
          </w:p>
        </w:tc>
        <w:tc>
          <w:tcPr>
            <w:tcW w:w="16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689"/>
        </w:trPr>
        <w:tc>
          <w:tcPr>
            <w:tcW w:w="1400" w:type="dxa"/>
            <w:vAlign w:val="bottom"/>
          </w:tcPr>
          <w:p>
            <w:pPr>
              <w:spacing w:after="0"/>
              <w:rPr>
                <w:sz w:val="20"/>
                <w:szCs w:val="20"/>
                <w:color w:val="auto"/>
              </w:rPr>
            </w:pPr>
            <w:r>
              <w:rPr>
                <w:rFonts w:ascii="Arial" w:cs="Arial" w:eastAsia="Arial" w:hAnsi="Arial"/>
                <w:sz w:val="22"/>
                <w:szCs w:val="22"/>
                <w:color w:val="auto"/>
              </w:rPr>
              <w:t>SECTION 7</w:t>
            </w:r>
          </w:p>
        </w:tc>
        <w:tc>
          <w:tcPr>
            <w:tcW w:w="6840" w:type="dxa"/>
            <w:vAlign w:val="bottom"/>
            <w:gridSpan w:val="2"/>
          </w:tcPr>
          <w:p>
            <w:pPr>
              <w:ind w:left="300"/>
              <w:spacing w:after="0"/>
              <w:rPr>
                <w:sz w:val="20"/>
                <w:szCs w:val="20"/>
                <w:color w:val="auto"/>
              </w:rPr>
            </w:pPr>
            <w:r>
              <w:rPr>
                <w:rFonts w:ascii="Arial" w:cs="Arial" w:eastAsia="Arial" w:hAnsi="Arial"/>
                <w:sz w:val="22"/>
                <w:szCs w:val="22"/>
                <w:color w:val="auto"/>
              </w:rPr>
              <w:t>INFORMATION AS TO NOTE PARTIES</w:t>
            </w:r>
          </w:p>
        </w:tc>
        <w:tc>
          <w:tcPr>
            <w:tcW w:w="16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7.1.</w:t>
            </w:r>
          </w:p>
        </w:tc>
        <w:tc>
          <w:tcPr>
            <w:tcW w:w="6000" w:type="dxa"/>
            <w:vAlign w:val="bottom"/>
          </w:tcPr>
          <w:p>
            <w:pPr>
              <w:ind w:left="280"/>
              <w:spacing w:after="0"/>
              <w:rPr>
                <w:sz w:val="20"/>
                <w:szCs w:val="20"/>
                <w:color w:val="auto"/>
              </w:rPr>
            </w:pPr>
            <w:r>
              <w:rPr>
                <w:rFonts w:ascii="Arial" w:cs="Arial" w:eastAsia="Arial" w:hAnsi="Arial"/>
                <w:sz w:val="22"/>
                <w:szCs w:val="22"/>
                <w:color w:val="auto"/>
              </w:rPr>
              <w:t>Financial and Business Information</w:t>
            </w:r>
          </w:p>
        </w:tc>
        <w:tc>
          <w:tcPr>
            <w:tcW w:w="16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7.2.</w:t>
            </w:r>
          </w:p>
        </w:tc>
        <w:tc>
          <w:tcPr>
            <w:tcW w:w="6000" w:type="dxa"/>
            <w:vAlign w:val="bottom"/>
          </w:tcPr>
          <w:p>
            <w:pPr>
              <w:ind w:left="280"/>
              <w:spacing w:after="0"/>
              <w:rPr>
                <w:sz w:val="20"/>
                <w:szCs w:val="20"/>
                <w:color w:val="auto"/>
              </w:rPr>
            </w:pPr>
            <w:r>
              <w:rPr>
                <w:rFonts w:ascii="Arial" w:cs="Arial" w:eastAsia="Arial" w:hAnsi="Arial"/>
                <w:sz w:val="22"/>
                <w:szCs w:val="22"/>
                <w:color w:val="auto"/>
              </w:rPr>
              <w:t>Officer’s Certificate</w:t>
            </w:r>
          </w:p>
        </w:tc>
        <w:tc>
          <w:tcPr>
            <w:tcW w:w="16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7.3.</w:t>
            </w:r>
          </w:p>
        </w:tc>
        <w:tc>
          <w:tcPr>
            <w:tcW w:w="6000" w:type="dxa"/>
            <w:vAlign w:val="bottom"/>
          </w:tcPr>
          <w:p>
            <w:pPr>
              <w:ind w:left="280"/>
              <w:spacing w:after="0"/>
              <w:rPr>
                <w:sz w:val="20"/>
                <w:szCs w:val="20"/>
                <w:color w:val="auto"/>
              </w:rPr>
            </w:pPr>
            <w:r>
              <w:rPr>
                <w:rFonts w:ascii="Arial" w:cs="Arial" w:eastAsia="Arial" w:hAnsi="Arial"/>
                <w:sz w:val="22"/>
                <w:szCs w:val="22"/>
                <w:color w:val="auto"/>
              </w:rPr>
              <w:t>Visitation</w:t>
            </w:r>
          </w:p>
        </w:tc>
        <w:tc>
          <w:tcPr>
            <w:tcW w:w="16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7.4.</w:t>
            </w:r>
          </w:p>
        </w:tc>
        <w:tc>
          <w:tcPr>
            <w:tcW w:w="6000" w:type="dxa"/>
            <w:vAlign w:val="bottom"/>
          </w:tcPr>
          <w:p>
            <w:pPr>
              <w:ind w:left="280"/>
              <w:spacing w:after="0"/>
              <w:rPr>
                <w:sz w:val="20"/>
                <w:szCs w:val="20"/>
                <w:color w:val="auto"/>
              </w:rPr>
            </w:pPr>
            <w:r>
              <w:rPr>
                <w:rFonts w:ascii="Arial" w:cs="Arial" w:eastAsia="Arial" w:hAnsi="Arial"/>
                <w:sz w:val="22"/>
                <w:szCs w:val="22"/>
                <w:color w:val="auto"/>
              </w:rPr>
              <w:t>Electronic Delivery</w:t>
            </w:r>
          </w:p>
        </w:tc>
        <w:tc>
          <w:tcPr>
            <w:tcW w:w="16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689"/>
        </w:trPr>
        <w:tc>
          <w:tcPr>
            <w:tcW w:w="1400" w:type="dxa"/>
            <w:vAlign w:val="bottom"/>
          </w:tcPr>
          <w:p>
            <w:pPr>
              <w:spacing w:after="0"/>
              <w:rPr>
                <w:sz w:val="20"/>
                <w:szCs w:val="20"/>
                <w:color w:val="auto"/>
              </w:rPr>
            </w:pPr>
            <w:r>
              <w:rPr>
                <w:rFonts w:ascii="Arial" w:cs="Arial" w:eastAsia="Arial" w:hAnsi="Arial"/>
                <w:sz w:val="22"/>
                <w:szCs w:val="22"/>
                <w:color w:val="auto"/>
              </w:rPr>
              <w:t>SECTION 8</w:t>
            </w:r>
          </w:p>
        </w:tc>
        <w:tc>
          <w:tcPr>
            <w:tcW w:w="6840" w:type="dxa"/>
            <w:vAlign w:val="bottom"/>
            <w:gridSpan w:val="2"/>
          </w:tcPr>
          <w:p>
            <w:pPr>
              <w:ind w:left="300"/>
              <w:spacing w:after="0"/>
              <w:rPr>
                <w:sz w:val="20"/>
                <w:szCs w:val="20"/>
                <w:color w:val="auto"/>
              </w:rPr>
            </w:pPr>
            <w:r>
              <w:rPr>
                <w:rFonts w:ascii="Arial" w:cs="Arial" w:eastAsia="Arial" w:hAnsi="Arial"/>
                <w:sz w:val="22"/>
                <w:szCs w:val="22"/>
                <w:color w:val="auto"/>
              </w:rPr>
              <w:t>PAYMENT AND PREPAYMENT OF THE NOTES</w:t>
            </w:r>
          </w:p>
        </w:tc>
        <w:tc>
          <w:tcPr>
            <w:tcW w:w="16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8.1.</w:t>
            </w:r>
          </w:p>
        </w:tc>
        <w:tc>
          <w:tcPr>
            <w:tcW w:w="6000" w:type="dxa"/>
            <w:vAlign w:val="bottom"/>
          </w:tcPr>
          <w:p>
            <w:pPr>
              <w:ind w:left="280"/>
              <w:spacing w:after="0"/>
              <w:rPr>
                <w:sz w:val="20"/>
                <w:szCs w:val="20"/>
                <w:color w:val="auto"/>
              </w:rPr>
            </w:pPr>
            <w:r>
              <w:rPr>
                <w:rFonts w:ascii="Arial" w:cs="Arial" w:eastAsia="Arial" w:hAnsi="Arial"/>
                <w:sz w:val="22"/>
                <w:szCs w:val="22"/>
                <w:color w:val="auto"/>
              </w:rPr>
              <w:t>Maturity</w:t>
            </w:r>
          </w:p>
        </w:tc>
        <w:tc>
          <w:tcPr>
            <w:tcW w:w="16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8.2.</w:t>
            </w:r>
          </w:p>
        </w:tc>
        <w:tc>
          <w:tcPr>
            <w:tcW w:w="6000" w:type="dxa"/>
            <w:vAlign w:val="bottom"/>
          </w:tcPr>
          <w:p>
            <w:pPr>
              <w:ind w:left="280"/>
              <w:spacing w:after="0" w:line="253" w:lineRule="exact"/>
              <w:rPr>
                <w:sz w:val="20"/>
                <w:szCs w:val="20"/>
                <w:color w:val="auto"/>
              </w:rPr>
            </w:pPr>
            <w:r>
              <w:rPr>
                <w:rFonts w:ascii="Arial" w:cs="Arial" w:eastAsia="Arial" w:hAnsi="Arial"/>
                <w:sz w:val="22"/>
                <w:szCs w:val="22"/>
                <w:color w:val="auto"/>
              </w:rPr>
              <w:t>Optional Prepayments with Make</w:t>
            </w:r>
            <w:r>
              <w:rPr>
                <w:rFonts w:ascii="MS PGothic" w:cs="MS PGothic" w:eastAsia="MS PGothic" w:hAnsi="MS PGothic"/>
                <w:sz w:val="22"/>
                <w:szCs w:val="22"/>
                <w:color w:val="auto"/>
              </w:rPr>
              <w:t>‑</w:t>
            </w:r>
            <w:r>
              <w:rPr>
                <w:rFonts w:ascii="Arial" w:cs="Arial" w:eastAsia="Arial" w:hAnsi="Arial"/>
                <w:sz w:val="22"/>
                <w:szCs w:val="22"/>
                <w:color w:val="auto"/>
              </w:rPr>
              <w:t>Whole Amount</w:t>
            </w:r>
          </w:p>
        </w:tc>
        <w:tc>
          <w:tcPr>
            <w:tcW w:w="16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8.3</w:t>
            </w:r>
          </w:p>
        </w:tc>
        <w:tc>
          <w:tcPr>
            <w:tcW w:w="6000" w:type="dxa"/>
            <w:vAlign w:val="bottom"/>
          </w:tcPr>
          <w:p>
            <w:pPr>
              <w:ind w:left="280"/>
              <w:spacing w:after="0"/>
              <w:rPr>
                <w:sz w:val="20"/>
                <w:szCs w:val="20"/>
                <w:color w:val="auto"/>
              </w:rPr>
            </w:pPr>
            <w:r>
              <w:rPr>
                <w:rFonts w:ascii="Arial" w:cs="Arial" w:eastAsia="Arial" w:hAnsi="Arial"/>
                <w:sz w:val="22"/>
                <w:szCs w:val="22"/>
                <w:color w:val="auto"/>
              </w:rPr>
              <w:t>Allocation of Partial Prepayments</w:t>
            </w:r>
          </w:p>
        </w:tc>
        <w:tc>
          <w:tcPr>
            <w:tcW w:w="16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8.4.</w:t>
            </w:r>
          </w:p>
        </w:tc>
        <w:tc>
          <w:tcPr>
            <w:tcW w:w="6000" w:type="dxa"/>
            <w:vAlign w:val="bottom"/>
          </w:tcPr>
          <w:p>
            <w:pPr>
              <w:ind w:left="280"/>
              <w:spacing w:after="0"/>
              <w:rPr>
                <w:sz w:val="20"/>
                <w:szCs w:val="20"/>
                <w:color w:val="auto"/>
              </w:rPr>
            </w:pPr>
            <w:r>
              <w:rPr>
                <w:rFonts w:ascii="Arial" w:cs="Arial" w:eastAsia="Arial" w:hAnsi="Arial"/>
                <w:sz w:val="22"/>
                <w:szCs w:val="22"/>
                <w:color w:val="auto"/>
              </w:rPr>
              <w:t>Maturity; Surrender, Etc.</w:t>
            </w:r>
          </w:p>
        </w:tc>
        <w:tc>
          <w:tcPr>
            <w:tcW w:w="16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8.5.</w:t>
            </w:r>
          </w:p>
        </w:tc>
        <w:tc>
          <w:tcPr>
            <w:tcW w:w="6000" w:type="dxa"/>
            <w:vAlign w:val="bottom"/>
          </w:tcPr>
          <w:p>
            <w:pPr>
              <w:ind w:left="280"/>
              <w:spacing w:after="0"/>
              <w:rPr>
                <w:sz w:val="20"/>
                <w:szCs w:val="20"/>
                <w:color w:val="auto"/>
              </w:rPr>
            </w:pPr>
            <w:r>
              <w:rPr>
                <w:rFonts w:ascii="Arial" w:cs="Arial" w:eastAsia="Arial" w:hAnsi="Arial"/>
                <w:sz w:val="22"/>
                <w:szCs w:val="22"/>
                <w:color w:val="auto"/>
              </w:rPr>
              <w:t>Purchase of Notes</w:t>
            </w:r>
          </w:p>
        </w:tc>
        <w:tc>
          <w:tcPr>
            <w:tcW w:w="16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8.6.</w:t>
            </w:r>
          </w:p>
        </w:tc>
        <w:tc>
          <w:tcPr>
            <w:tcW w:w="6000" w:type="dxa"/>
            <w:vAlign w:val="bottom"/>
          </w:tcPr>
          <w:p>
            <w:pPr>
              <w:ind w:left="280"/>
              <w:spacing w:after="0" w:line="253" w:lineRule="exact"/>
              <w:rPr>
                <w:sz w:val="20"/>
                <w:szCs w:val="20"/>
                <w:color w:val="auto"/>
              </w:rPr>
            </w:pPr>
            <w:r>
              <w:rPr>
                <w:rFonts w:ascii="Arial" w:cs="Arial" w:eastAsia="Arial" w:hAnsi="Arial"/>
                <w:sz w:val="22"/>
                <w:szCs w:val="22"/>
                <w:color w:val="auto"/>
              </w:rPr>
              <w:t>Make</w:t>
            </w:r>
            <w:r>
              <w:rPr>
                <w:rFonts w:ascii="MS PGothic" w:cs="MS PGothic" w:eastAsia="MS PGothic" w:hAnsi="MS PGothic"/>
                <w:sz w:val="22"/>
                <w:szCs w:val="22"/>
                <w:color w:val="auto"/>
              </w:rPr>
              <w:t>‑</w:t>
            </w:r>
            <w:r>
              <w:rPr>
                <w:rFonts w:ascii="Arial" w:cs="Arial" w:eastAsia="Arial" w:hAnsi="Arial"/>
                <w:sz w:val="22"/>
                <w:szCs w:val="22"/>
                <w:color w:val="auto"/>
              </w:rPr>
              <w:t>Whole Amount</w:t>
            </w:r>
          </w:p>
        </w:tc>
        <w:tc>
          <w:tcPr>
            <w:tcW w:w="16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8.7.</w:t>
            </w:r>
          </w:p>
        </w:tc>
        <w:tc>
          <w:tcPr>
            <w:tcW w:w="6000" w:type="dxa"/>
            <w:vAlign w:val="bottom"/>
          </w:tcPr>
          <w:p>
            <w:pPr>
              <w:ind w:left="280"/>
              <w:spacing w:after="0"/>
              <w:rPr>
                <w:sz w:val="20"/>
                <w:szCs w:val="20"/>
                <w:color w:val="auto"/>
              </w:rPr>
            </w:pPr>
            <w:r>
              <w:rPr>
                <w:rFonts w:ascii="Arial" w:cs="Arial" w:eastAsia="Arial" w:hAnsi="Arial"/>
                <w:sz w:val="22"/>
                <w:szCs w:val="22"/>
                <w:color w:val="auto"/>
              </w:rPr>
              <w:t>Change in Control</w:t>
            </w:r>
          </w:p>
        </w:tc>
        <w:tc>
          <w:tcPr>
            <w:tcW w:w="16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8.8.</w:t>
            </w:r>
          </w:p>
        </w:tc>
        <w:tc>
          <w:tcPr>
            <w:tcW w:w="6000" w:type="dxa"/>
            <w:vAlign w:val="bottom"/>
          </w:tcPr>
          <w:p>
            <w:pPr>
              <w:ind w:left="280"/>
              <w:spacing w:after="0" w:line="253" w:lineRule="exact"/>
              <w:rPr>
                <w:sz w:val="20"/>
                <w:szCs w:val="20"/>
                <w:color w:val="auto"/>
              </w:rPr>
            </w:pPr>
            <w:r>
              <w:rPr>
                <w:rFonts w:ascii="Arial" w:cs="Arial" w:eastAsia="Arial" w:hAnsi="Arial"/>
                <w:sz w:val="22"/>
                <w:szCs w:val="22"/>
                <w:color w:val="auto"/>
              </w:rPr>
              <w:t>Payments Due on Non</w:t>
            </w:r>
            <w:r>
              <w:rPr>
                <w:rFonts w:ascii="MS PGothic" w:cs="MS PGothic" w:eastAsia="MS PGothic" w:hAnsi="MS PGothic"/>
                <w:sz w:val="22"/>
                <w:szCs w:val="22"/>
                <w:color w:val="auto"/>
              </w:rPr>
              <w:t>‑</w:t>
            </w:r>
            <w:r>
              <w:rPr>
                <w:rFonts w:ascii="Arial" w:cs="Arial" w:eastAsia="Arial" w:hAnsi="Arial"/>
                <w:sz w:val="22"/>
                <w:szCs w:val="22"/>
                <w:color w:val="auto"/>
              </w:rPr>
              <w:t>Business Days</w:t>
            </w:r>
          </w:p>
        </w:tc>
        <w:tc>
          <w:tcPr>
            <w:tcW w:w="16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689"/>
        </w:trPr>
        <w:tc>
          <w:tcPr>
            <w:tcW w:w="1400" w:type="dxa"/>
            <w:vAlign w:val="bottom"/>
          </w:tcPr>
          <w:p>
            <w:pPr>
              <w:spacing w:after="0"/>
              <w:rPr>
                <w:sz w:val="20"/>
                <w:szCs w:val="20"/>
                <w:color w:val="auto"/>
              </w:rPr>
            </w:pPr>
            <w:r>
              <w:rPr>
                <w:rFonts w:ascii="Arial" w:cs="Arial" w:eastAsia="Arial" w:hAnsi="Arial"/>
                <w:sz w:val="22"/>
                <w:szCs w:val="22"/>
                <w:color w:val="auto"/>
              </w:rPr>
              <w:t>SECTION 9</w:t>
            </w:r>
          </w:p>
        </w:tc>
        <w:tc>
          <w:tcPr>
            <w:tcW w:w="6840" w:type="dxa"/>
            <w:vAlign w:val="bottom"/>
            <w:gridSpan w:val="2"/>
          </w:tcPr>
          <w:p>
            <w:pPr>
              <w:ind w:left="300"/>
              <w:spacing w:after="0"/>
              <w:rPr>
                <w:sz w:val="20"/>
                <w:szCs w:val="20"/>
                <w:color w:val="auto"/>
              </w:rPr>
            </w:pPr>
            <w:r>
              <w:rPr>
                <w:rFonts w:ascii="Arial" w:cs="Arial" w:eastAsia="Arial" w:hAnsi="Arial"/>
                <w:sz w:val="22"/>
                <w:szCs w:val="22"/>
                <w:color w:val="auto"/>
              </w:rPr>
              <w:t>AFFIRMATIVE COVENANTS</w:t>
            </w:r>
          </w:p>
        </w:tc>
        <w:tc>
          <w:tcPr>
            <w:tcW w:w="16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9.1.</w:t>
            </w:r>
          </w:p>
        </w:tc>
        <w:tc>
          <w:tcPr>
            <w:tcW w:w="6000" w:type="dxa"/>
            <w:vAlign w:val="bottom"/>
          </w:tcPr>
          <w:p>
            <w:pPr>
              <w:ind w:left="280"/>
              <w:spacing w:after="0"/>
              <w:rPr>
                <w:sz w:val="20"/>
                <w:szCs w:val="20"/>
                <w:color w:val="auto"/>
              </w:rPr>
            </w:pPr>
            <w:r>
              <w:rPr>
                <w:rFonts w:ascii="Arial" w:cs="Arial" w:eastAsia="Arial" w:hAnsi="Arial"/>
                <w:sz w:val="22"/>
                <w:szCs w:val="22"/>
                <w:color w:val="auto"/>
              </w:rPr>
              <w:t>Compliance with Law</w:t>
            </w:r>
          </w:p>
        </w:tc>
        <w:tc>
          <w:tcPr>
            <w:tcW w:w="16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9.2.</w:t>
            </w:r>
          </w:p>
        </w:tc>
        <w:tc>
          <w:tcPr>
            <w:tcW w:w="6000" w:type="dxa"/>
            <w:vAlign w:val="bottom"/>
          </w:tcPr>
          <w:p>
            <w:pPr>
              <w:ind w:left="280"/>
              <w:spacing w:after="0"/>
              <w:rPr>
                <w:sz w:val="20"/>
                <w:szCs w:val="20"/>
                <w:color w:val="auto"/>
              </w:rPr>
            </w:pPr>
            <w:r>
              <w:rPr>
                <w:rFonts w:ascii="Arial" w:cs="Arial" w:eastAsia="Arial" w:hAnsi="Arial"/>
                <w:sz w:val="22"/>
                <w:szCs w:val="22"/>
                <w:color w:val="auto"/>
              </w:rPr>
              <w:t>Insurance</w:t>
            </w:r>
          </w:p>
        </w:tc>
        <w:tc>
          <w:tcPr>
            <w:tcW w:w="16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9.3.</w:t>
            </w:r>
          </w:p>
        </w:tc>
        <w:tc>
          <w:tcPr>
            <w:tcW w:w="6000" w:type="dxa"/>
            <w:vAlign w:val="bottom"/>
          </w:tcPr>
          <w:p>
            <w:pPr>
              <w:ind w:left="280"/>
              <w:spacing w:after="0"/>
              <w:rPr>
                <w:sz w:val="20"/>
                <w:szCs w:val="20"/>
                <w:color w:val="auto"/>
              </w:rPr>
            </w:pPr>
            <w:r>
              <w:rPr>
                <w:rFonts w:ascii="Arial" w:cs="Arial" w:eastAsia="Arial" w:hAnsi="Arial"/>
                <w:sz w:val="22"/>
                <w:szCs w:val="22"/>
                <w:color w:val="auto"/>
              </w:rPr>
              <w:t>Maintenance of Properties</w:t>
            </w:r>
          </w:p>
        </w:tc>
        <w:tc>
          <w:tcPr>
            <w:tcW w:w="16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9.4.</w:t>
            </w:r>
          </w:p>
        </w:tc>
        <w:tc>
          <w:tcPr>
            <w:tcW w:w="6000" w:type="dxa"/>
            <w:vAlign w:val="bottom"/>
          </w:tcPr>
          <w:p>
            <w:pPr>
              <w:ind w:left="280"/>
              <w:spacing w:after="0"/>
              <w:rPr>
                <w:sz w:val="20"/>
                <w:szCs w:val="20"/>
                <w:color w:val="auto"/>
              </w:rPr>
            </w:pPr>
            <w:r>
              <w:rPr>
                <w:rFonts w:ascii="Arial" w:cs="Arial" w:eastAsia="Arial" w:hAnsi="Arial"/>
                <w:sz w:val="22"/>
                <w:szCs w:val="22"/>
                <w:color w:val="auto"/>
              </w:rPr>
              <w:t>Payment of Taxes and Claims</w:t>
            </w:r>
          </w:p>
        </w:tc>
        <w:tc>
          <w:tcPr>
            <w:tcW w:w="16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9.5.</w:t>
            </w:r>
          </w:p>
        </w:tc>
        <w:tc>
          <w:tcPr>
            <w:tcW w:w="6000" w:type="dxa"/>
            <w:vAlign w:val="bottom"/>
          </w:tcPr>
          <w:p>
            <w:pPr>
              <w:ind w:left="280"/>
              <w:spacing w:after="0"/>
              <w:rPr>
                <w:sz w:val="20"/>
                <w:szCs w:val="20"/>
                <w:color w:val="auto"/>
              </w:rPr>
            </w:pPr>
            <w:r>
              <w:rPr>
                <w:rFonts w:ascii="Arial" w:cs="Arial" w:eastAsia="Arial" w:hAnsi="Arial"/>
                <w:sz w:val="22"/>
                <w:szCs w:val="22"/>
                <w:color w:val="auto"/>
              </w:rPr>
              <w:t>Corporate Existence, Etc</w:t>
            </w:r>
          </w:p>
        </w:tc>
        <w:tc>
          <w:tcPr>
            <w:tcW w:w="16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9.6.</w:t>
            </w:r>
          </w:p>
        </w:tc>
        <w:tc>
          <w:tcPr>
            <w:tcW w:w="6000" w:type="dxa"/>
            <w:vAlign w:val="bottom"/>
          </w:tcPr>
          <w:p>
            <w:pPr>
              <w:ind w:left="280"/>
              <w:spacing w:after="0"/>
              <w:rPr>
                <w:sz w:val="20"/>
                <w:szCs w:val="20"/>
                <w:color w:val="auto"/>
              </w:rPr>
            </w:pPr>
            <w:r>
              <w:rPr>
                <w:rFonts w:ascii="Arial" w:cs="Arial" w:eastAsia="Arial" w:hAnsi="Arial"/>
                <w:sz w:val="22"/>
                <w:szCs w:val="22"/>
                <w:color w:val="auto"/>
              </w:rPr>
              <w:t>Books and Records</w:t>
            </w:r>
          </w:p>
        </w:tc>
        <w:tc>
          <w:tcPr>
            <w:tcW w:w="16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9.7.</w:t>
            </w:r>
          </w:p>
        </w:tc>
        <w:tc>
          <w:tcPr>
            <w:tcW w:w="6000" w:type="dxa"/>
            <w:vAlign w:val="bottom"/>
          </w:tcPr>
          <w:p>
            <w:pPr>
              <w:ind w:left="280"/>
              <w:spacing w:after="0"/>
              <w:rPr>
                <w:sz w:val="20"/>
                <w:szCs w:val="20"/>
                <w:color w:val="auto"/>
              </w:rPr>
            </w:pPr>
            <w:r>
              <w:rPr>
                <w:rFonts w:ascii="Arial" w:cs="Arial" w:eastAsia="Arial" w:hAnsi="Arial"/>
                <w:sz w:val="22"/>
                <w:szCs w:val="22"/>
                <w:color w:val="auto"/>
              </w:rPr>
              <w:t>Subsidiary Guarantors</w:t>
            </w:r>
          </w:p>
        </w:tc>
        <w:tc>
          <w:tcPr>
            <w:tcW w:w="1640" w:type="dxa"/>
            <w:vAlign w:val="bottom"/>
          </w:tcPr>
          <w:p>
            <w:pPr>
              <w:jc w:val="right"/>
              <w:spacing w:after="0"/>
              <w:rPr>
                <w:sz w:val="20"/>
                <w:szCs w:val="20"/>
                <w:color w:val="auto"/>
              </w:rPr>
            </w:pPr>
            <w:r>
              <w:rPr>
                <w:rFonts w:ascii="Arial" w:cs="Arial" w:eastAsia="Arial" w:hAnsi="Arial"/>
                <w:sz w:val="22"/>
                <w:szCs w:val="22"/>
                <w:color w:val="auto"/>
              </w:rPr>
              <w:t>30</w:t>
            </w:r>
          </w:p>
        </w:tc>
      </w:tr>
    </w:tbl>
    <w:p>
      <w:pPr>
        <w:spacing w:after="0" w:line="266" w:lineRule="exact"/>
        <w:rPr>
          <w:sz w:val="20"/>
          <w:szCs w:val="20"/>
          <w:color w:val="auto"/>
        </w:rPr>
      </w:pPr>
    </w:p>
    <w:p>
      <w:pPr>
        <w:ind w:left="35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ii</w:t>
      </w:r>
      <w:r>
        <w:rPr>
          <w:rFonts w:ascii="MS PGothic" w:cs="MS PGothic" w:eastAsia="MS PGothic" w:hAnsi="MS PGothic"/>
          <w:sz w:val="22"/>
          <w:szCs w:val="22"/>
          <w:color w:val="auto"/>
        </w:rPr>
        <w:t>‑</w:t>
      </w:r>
    </w:p>
    <w:p>
      <w:pPr>
        <w:sectPr>
          <w:pgSz w:w="11900" w:h="16838" w:orient="portrait"/>
          <w:cols w:equalWidth="0" w:num="1">
            <w:col w:w="9880"/>
          </w:cols>
          <w:pgMar w:left="920" w:top="820" w:right="10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5"/>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9.8.</w:t>
            </w:r>
          </w:p>
        </w:tc>
        <w:tc>
          <w:tcPr>
            <w:tcW w:w="6240" w:type="dxa"/>
            <w:vAlign w:val="bottom"/>
          </w:tcPr>
          <w:p>
            <w:pPr>
              <w:ind w:left="280"/>
              <w:spacing w:after="0"/>
              <w:rPr>
                <w:sz w:val="20"/>
                <w:szCs w:val="20"/>
                <w:color w:val="auto"/>
              </w:rPr>
            </w:pPr>
            <w:r>
              <w:rPr>
                <w:rFonts w:ascii="Arial" w:cs="Arial" w:eastAsia="Arial" w:hAnsi="Arial"/>
                <w:sz w:val="22"/>
                <w:szCs w:val="22"/>
                <w:color w:val="auto"/>
              </w:rPr>
              <w:t>Maintenance of Status</w:t>
            </w:r>
          </w:p>
        </w:tc>
        <w:tc>
          <w:tcPr>
            <w:tcW w:w="14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689"/>
        </w:trPr>
        <w:tc>
          <w:tcPr>
            <w:tcW w:w="1440" w:type="dxa"/>
            <w:vAlign w:val="bottom"/>
          </w:tcPr>
          <w:p>
            <w:pPr>
              <w:spacing w:after="0"/>
              <w:rPr>
                <w:sz w:val="20"/>
                <w:szCs w:val="20"/>
                <w:color w:val="auto"/>
              </w:rPr>
            </w:pPr>
            <w:r>
              <w:rPr>
                <w:rFonts w:ascii="Arial" w:cs="Arial" w:eastAsia="Arial" w:hAnsi="Arial"/>
                <w:sz w:val="22"/>
                <w:szCs w:val="22"/>
                <w:color w:val="auto"/>
              </w:rPr>
              <w:t>SECTION 10</w:t>
            </w:r>
          </w:p>
        </w:tc>
        <w:tc>
          <w:tcPr>
            <w:tcW w:w="7040" w:type="dxa"/>
            <w:vAlign w:val="bottom"/>
            <w:gridSpan w:val="2"/>
          </w:tcPr>
          <w:p>
            <w:pPr>
              <w:ind w:left="260"/>
              <w:spacing w:after="0"/>
              <w:rPr>
                <w:sz w:val="20"/>
                <w:szCs w:val="20"/>
                <w:color w:val="auto"/>
              </w:rPr>
            </w:pPr>
            <w:r>
              <w:rPr>
                <w:rFonts w:ascii="Arial" w:cs="Arial" w:eastAsia="Arial" w:hAnsi="Arial"/>
                <w:sz w:val="22"/>
                <w:szCs w:val="22"/>
                <w:color w:val="auto"/>
              </w:rPr>
              <w:t>NEGATIVE COVENANTS</w:t>
            </w:r>
          </w:p>
        </w:tc>
        <w:tc>
          <w:tcPr>
            <w:tcW w:w="14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10.1.</w:t>
            </w:r>
          </w:p>
        </w:tc>
        <w:tc>
          <w:tcPr>
            <w:tcW w:w="6240" w:type="dxa"/>
            <w:vAlign w:val="bottom"/>
          </w:tcPr>
          <w:p>
            <w:pPr>
              <w:ind w:left="280"/>
              <w:spacing w:after="0"/>
              <w:rPr>
                <w:sz w:val="20"/>
                <w:szCs w:val="20"/>
                <w:color w:val="auto"/>
              </w:rPr>
            </w:pPr>
            <w:r>
              <w:rPr>
                <w:rFonts w:ascii="Arial" w:cs="Arial" w:eastAsia="Arial" w:hAnsi="Arial"/>
                <w:sz w:val="22"/>
                <w:szCs w:val="22"/>
                <w:color w:val="auto"/>
              </w:rPr>
              <w:t>Transactions with Affiliates</w:t>
            </w:r>
          </w:p>
        </w:tc>
        <w:tc>
          <w:tcPr>
            <w:tcW w:w="14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10.2.</w:t>
            </w:r>
          </w:p>
        </w:tc>
        <w:tc>
          <w:tcPr>
            <w:tcW w:w="6240" w:type="dxa"/>
            <w:vAlign w:val="bottom"/>
          </w:tcPr>
          <w:p>
            <w:pPr>
              <w:ind w:left="280"/>
              <w:spacing w:after="0"/>
              <w:rPr>
                <w:sz w:val="20"/>
                <w:szCs w:val="20"/>
                <w:color w:val="auto"/>
              </w:rPr>
            </w:pPr>
            <w:r>
              <w:rPr>
                <w:rFonts w:ascii="Arial" w:cs="Arial" w:eastAsia="Arial" w:hAnsi="Arial"/>
                <w:sz w:val="22"/>
                <w:szCs w:val="22"/>
                <w:color w:val="auto"/>
              </w:rPr>
              <w:t>Line of Business</w:t>
            </w:r>
          </w:p>
        </w:tc>
        <w:tc>
          <w:tcPr>
            <w:tcW w:w="14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10.3.</w:t>
            </w:r>
          </w:p>
        </w:tc>
        <w:tc>
          <w:tcPr>
            <w:tcW w:w="6240" w:type="dxa"/>
            <w:vAlign w:val="bottom"/>
          </w:tcPr>
          <w:p>
            <w:pPr>
              <w:ind w:left="280"/>
              <w:spacing w:after="0"/>
              <w:rPr>
                <w:sz w:val="20"/>
                <w:szCs w:val="20"/>
                <w:color w:val="auto"/>
              </w:rPr>
            </w:pPr>
            <w:r>
              <w:rPr>
                <w:rFonts w:ascii="Arial" w:cs="Arial" w:eastAsia="Arial" w:hAnsi="Arial"/>
                <w:sz w:val="22"/>
                <w:szCs w:val="22"/>
                <w:color w:val="auto"/>
              </w:rPr>
              <w:t>Terrorism Sanctions Regulations</w:t>
            </w:r>
          </w:p>
        </w:tc>
        <w:tc>
          <w:tcPr>
            <w:tcW w:w="14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10.4.</w:t>
            </w:r>
          </w:p>
        </w:tc>
        <w:tc>
          <w:tcPr>
            <w:tcW w:w="6240" w:type="dxa"/>
            <w:vAlign w:val="bottom"/>
          </w:tcPr>
          <w:p>
            <w:pPr>
              <w:ind w:left="280"/>
              <w:spacing w:after="0"/>
              <w:rPr>
                <w:sz w:val="20"/>
                <w:szCs w:val="20"/>
                <w:color w:val="auto"/>
              </w:rPr>
            </w:pPr>
            <w:r>
              <w:rPr>
                <w:rFonts w:ascii="Arial" w:cs="Arial" w:eastAsia="Arial" w:hAnsi="Arial"/>
                <w:sz w:val="22"/>
                <w:szCs w:val="22"/>
                <w:color w:val="auto"/>
              </w:rPr>
              <w:t>Liens</w:t>
            </w:r>
          </w:p>
        </w:tc>
        <w:tc>
          <w:tcPr>
            <w:tcW w:w="140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10.5.</w:t>
            </w:r>
          </w:p>
        </w:tc>
        <w:tc>
          <w:tcPr>
            <w:tcW w:w="6240" w:type="dxa"/>
            <w:vAlign w:val="bottom"/>
          </w:tcPr>
          <w:p>
            <w:pPr>
              <w:ind w:left="280"/>
              <w:spacing w:after="0"/>
              <w:rPr>
                <w:sz w:val="20"/>
                <w:szCs w:val="20"/>
                <w:color w:val="auto"/>
              </w:rPr>
            </w:pPr>
            <w:r>
              <w:rPr>
                <w:rFonts w:ascii="Arial" w:cs="Arial" w:eastAsia="Arial" w:hAnsi="Arial"/>
                <w:sz w:val="22"/>
                <w:szCs w:val="22"/>
                <w:color w:val="auto"/>
              </w:rPr>
              <w:t>Indebtedness</w:t>
            </w:r>
          </w:p>
        </w:tc>
        <w:tc>
          <w:tcPr>
            <w:tcW w:w="14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10.6.</w:t>
            </w:r>
          </w:p>
        </w:tc>
        <w:tc>
          <w:tcPr>
            <w:tcW w:w="6240" w:type="dxa"/>
            <w:vAlign w:val="bottom"/>
          </w:tcPr>
          <w:p>
            <w:pPr>
              <w:ind w:left="280"/>
              <w:spacing w:after="0"/>
              <w:rPr>
                <w:sz w:val="20"/>
                <w:szCs w:val="20"/>
                <w:color w:val="auto"/>
              </w:rPr>
            </w:pPr>
            <w:r>
              <w:rPr>
                <w:rFonts w:ascii="Arial" w:cs="Arial" w:eastAsia="Arial" w:hAnsi="Arial"/>
                <w:sz w:val="22"/>
                <w:szCs w:val="22"/>
                <w:color w:val="auto"/>
              </w:rPr>
              <w:t>Investments</w:t>
            </w:r>
          </w:p>
        </w:tc>
        <w:tc>
          <w:tcPr>
            <w:tcW w:w="140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10.7.</w:t>
            </w:r>
          </w:p>
        </w:tc>
        <w:tc>
          <w:tcPr>
            <w:tcW w:w="6240" w:type="dxa"/>
            <w:vAlign w:val="bottom"/>
          </w:tcPr>
          <w:p>
            <w:pPr>
              <w:ind w:left="280"/>
              <w:spacing w:after="0"/>
              <w:rPr>
                <w:sz w:val="20"/>
                <w:szCs w:val="20"/>
                <w:color w:val="auto"/>
              </w:rPr>
            </w:pPr>
            <w:r>
              <w:rPr>
                <w:rFonts w:ascii="Arial" w:cs="Arial" w:eastAsia="Arial" w:hAnsi="Arial"/>
                <w:sz w:val="22"/>
                <w:szCs w:val="22"/>
                <w:color w:val="auto"/>
              </w:rPr>
              <w:t>Fundamental Changes</w:t>
            </w:r>
          </w:p>
        </w:tc>
        <w:tc>
          <w:tcPr>
            <w:tcW w:w="140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10.8.</w:t>
            </w:r>
          </w:p>
        </w:tc>
        <w:tc>
          <w:tcPr>
            <w:tcW w:w="6240" w:type="dxa"/>
            <w:vAlign w:val="bottom"/>
          </w:tcPr>
          <w:p>
            <w:pPr>
              <w:ind w:left="280"/>
              <w:spacing w:after="0"/>
              <w:rPr>
                <w:sz w:val="20"/>
                <w:szCs w:val="20"/>
                <w:color w:val="auto"/>
              </w:rPr>
            </w:pPr>
            <w:r>
              <w:rPr>
                <w:rFonts w:ascii="Arial" w:cs="Arial" w:eastAsia="Arial" w:hAnsi="Arial"/>
                <w:sz w:val="22"/>
                <w:szCs w:val="22"/>
                <w:color w:val="auto"/>
              </w:rPr>
              <w:t>Dispositions</w:t>
            </w:r>
          </w:p>
        </w:tc>
        <w:tc>
          <w:tcPr>
            <w:tcW w:w="14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10.9.</w:t>
            </w:r>
          </w:p>
        </w:tc>
        <w:tc>
          <w:tcPr>
            <w:tcW w:w="6240" w:type="dxa"/>
            <w:vAlign w:val="bottom"/>
          </w:tcPr>
          <w:p>
            <w:pPr>
              <w:ind w:left="280"/>
              <w:spacing w:after="0"/>
              <w:rPr>
                <w:sz w:val="20"/>
                <w:szCs w:val="20"/>
                <w:color w:val="auto"/>
              </w:rPr>
            </w:pPr>
            <w:r>
              <w:rPr>
                <w:rFonts w:ascii="Arial" w:cs="Arial" w:eastAsia="Arial" w:hAnsi="Arial"/>
                <w:sz w:val="22"/>
                <w:szCs w:val="22"/>
                <w:color w:val="auto"/>
              </w:rPr>
              <w:t>Financial Covenants</w:t>
            </w:r>
          </w:p>
        </w:tc>
        <w:tc>
          <w:tcPr>
            <w:tcW w:w="14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689"/>
        </w:trPr>
        <w:tc>
          <w:tcPr>
            <w:tcW w:w="1440" w:type="dxa"/>
            <w:vAlign w:val="bottom"/>
          </w:tcPr>
          <w:p>
            <w:pPr>
              <w:spacing w:after="0"/>
              <w:rPr>
                <w:sz w:val="20"/>
                <w:szCs w:val="20"/>
                <w:color w:val="auto"/>
              </w:rPr>
            </w:pPr>
            <w:r>
              <w:rPr>
                <w:rFonts w:ascii="Arial" w:cs="Arial" w:eastAsia="Arial" w:hAnsi="Arial"/>
                <w:sz w:val="22"/>
                <w:szCs w:val="22"/>
                <w:color w:val="auto"/>
              </w:rPr>
              <w:t>SECTION 11</w:t>
            </w:r>
          </w:p>
        </w:tc>
        <w:tc>
          <w:tcPr>
            <w:tcW w:w="7040" w:type="dxa"/>
            <w:vAlign w:val="bottom"/>
            <w:gridSpan w:val="2"/>
          </w:tcPr>
          <w:p>
            <w:pPr>
              <w:ind w:left="260"/>
              <w:spacing w:after="0"/>
              <w:rPr>
                <w:sz w:val="20"/>
                <w:szCs w:val="20"/>
                <w:color w:val="auto"/>
              </w:rPr>
            </w:pPr>
            <w:r>
              <w:rPr>
                <w:rFonts w:ascii="Arial" w:cs="Arial" w:eastAsia="Arial" w:hAnsi="Arial"/>
                <w:sz w:val="22"/>
                <w:szCs w:val="22"/>
                <w:color w:val="auto"/>
              </w:rPr>
              <w:t>EVENTS OF DEFAULT</w:t>
            </w:r>
          </w:p>
        </w:tc>
        <w:tc>
          <w:tcPr>
            <w:tcW w:w="140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689"/>
        </w:trPr>
        <w:tc>
          <w:tcPr>
            <w:tcW w:w="1440" w:type="dxa"/>
            <w:vAlign w:val="bottom"/>
          </w:tcPr>
          <w:p>
            <w:pPr>
              <w:spacing w:after="0"/>
              <w:rPr>
                <w:sz w:val="20"/>
                <w:szCs w:val="20"/>
                <w:color w:val="auto"/>
              </w:rPr>
            </w:pPr>
            <w:r>
              <w:rPr>
                <w:rFonts w:ascii="Arial" w:cs="Arial" w:eastAsia="Arial" w:hAnsi="Arial"/>
                <w:sz w:val="22"/>
                <w:szCs w:val="22"/>
                <w:color w:val="auto"/>
              </w:rPr>
              <w:t>SECTION 12</w:t>
            </w:r>
          </w:p>
        </w:tc>
        <w:tc>
          <w:tcPr>
            <w:tcW w:w="7040" w:type="dxa"/>
            <w:vAlign w:val="bottom"/>
            <w:gridSpan w:val="2"/>
          </w:tcPr>
          <w:p>
            <w:pPr>
              <w:ind w:left="260"/>
              <w:spacing w:after="0"/>
              <w:rPr>
                <w:sz w:val="20"/>
                <w:szCs w:val="20"/>
                <w:color w:val="auto"/>
              </w:rPr>
            </w:pPr>
            <w:r>
              <w:rPr>
                <w:rFonts w:ascii="Arial" w:cs="Arial" w:eastAsia="Arial" w:hAnsi="Arial"/>
                <w:sz w:val="22"/>
                <w:szCs w:val="22"/>
                <w:color w:val="auto"/>
              </w:rPr>
              <w:t>REMEDIES ON DEFAULT, ETC</w:t>
            </w:r>
          </w:p>
        </w:tc>
        <w:tc>
          <w:tcPr>
            <w:tcW w:w="14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12.1.</w:t>
            </w:r>
          </w:p>
        </w:tc>
        <w:tc>
          <w:tcPr>
            <w:tcW w:w="6240" w:type="dxa"/>
            <w:vAlign w:val="bottom"/>
          </w:tcPr>
          <w:p>
            <w:pPr>
              <w:ind w:left="280"/>
              <w:spacing w:after="0"/>
              <w:rPr>
                <w:sz w:val="20"/>
                <w:szCs w:val="20"/>
                <w:color w:val="auto"/>
              </w:rPr>
            </w:pPr>
            <w:r>
              <w:rPr>
                <w:rFonts w:ascii="Arial" w:cs="Arial" w:eastAsia="Arial" w:hAnsi="Arial"/>
                <w:sz w:val="22"/>
                <w:szCs w:val="22"/>
                <w:color w:val="auto"/>
              </w:rPr>
              <w:t>Acceleration</w:t>
            </w:r>
          </w:p>
        </w:tc>
        <w:tc>
          <w:tcPr>
            <w:tcW w:w="14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12.2.</w:t>
            </w:r>
          </w:p>
        </w:tc>
        <w:tc>
          <w:tcPr>
            <w:tcW w:w="6240" w:type="dxa"/>
            <w:vAlign w:val="bottom"/>
          </w:tcPr>
          <w:p>
            <w:pPr>
              <w:ind w:left="280"/>
              <w:spacing w:after="0"/>
              <w:rPr>
                <w:sz w:val="20"/>
                <w:szCs w:val="20"/>
                <w:color w:val="auto"/>
              </w:rPr>
            </w:pPr>
            <w:r>
              <w:rPr>
                <w:rFonts w:ascii="Arial" w:cs="Arial" w:eastAsia="Arial" w:hAnsi="Arial"/>
                <w:sz w:val="22"/>
                <w:szCs w:val="22"/>
                <w:color w:val="auto"/>
              </w:rPr>
              <w:t>Other Remedies</w:t>
            </w:r>
          </w:p>
        </w:tc>
        <w:tc>
          <w:tcPr>
            <w:tcW w:w="14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12.3.</w:t>
            </w:r>
          </w:p>
        </w:tc>
        <w:tc>
          <w:tcPr>
            <w:tcW w:w="6240" w:type="dxa"/>
            <w:vAlign w:val="bottom"/>
          </w:tcPr>
          <w:p>
            <w:pPr>
              <w:ind w:left="280"/>
              <w:spacing w:after="0"/>
              <w:rPr>
                <w:sz w:val="20"/>
                <w:szCs w:val="20"/>
                <w:color w:val="auto"/>
              </w:rPr>
            </w:pPr>
            <w:r>
              <w:rPr>
                <w:rFonts w:ascii="Arial" w:cs="Arial" w:eastAsia="Arial" w:hAnsi="Arial"/>
                <w:sz w:val="22"/>
                <w:szCs w:val="22"/>
                <w:color w:val="auto"/>
              </w:rPr>
              <w:t>Rescission</w:t>
            </w:r>
          </w:p>
        </w:tc>
        <w:tc>
          <w:tcPr>
            <w:tcW w:w="140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12.4.</w:t>
            </w:r>
          </w:p>
        </w:tc>
        <w:tc>
          <w:tcPr>
            <w:tcW w:w="6240" w:type="dxa"/>
            <w:vAlign w:val="bottom"/>
          </w:tcPr>
          <w:p>
            <w:pPr>
              <w:ind w:left="280"/>
              <w:spacing w:after="0"/>
              <w:rPr>
                <w:sz w:val="20"/>
                <w:szCs w:val="20"/>
                <w:color w:val="auto"/>
              </w:rPr>
            </w:pPr>
            <w:r>
              <w:rPr>
                <w:rFonts w:ascii="Arial" w:cs="Arial" w:eastAsia="Arial" w:hAnsi="Arial"/>
                <w:sz w:val="22"/>
                <w:szCs w:val="22"/>
                <w:color w:val="auto"/>
              </w:rPr>
              <w:t>No Waivers or Election of Remedies, Expenses, Etc</w:t>
            </w:r>
          </w:p>
        </w:tc>
        <w:tc>
          <w:tcPr>
            <w:tcW w:w="140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689"/>
        </w:trPr>
        <w:tc>
          <w:tcPr>
            <w:tcW w:w="1440" w:type="dxa"/>
            <w:vAlign w:val="bottom"/>
          </w:tcPr>
          <w:p>
            <w:pPr>
              <w:spacing w:after="0"/>
              <w:rPr>
                <w:sz w:val="20"/>
                <w:szCs w:val="20"/>
                <w:color w:val="auto"/>
              </w:rPr>
            </w:pPr>
            <w:r>
              <w:rPr>
                <w:rFonts w:ascii="Arial" w:cs="Arial" w:eastAsia="Arial" w:hAnsi="Arial"/>
                <w:sz w:val="22"/>
                <w:szCs w:val="22"/>
                <w:color w:val="auto"/>
              </w:rPr>
              <w:t>SECTION 13</w:t>
            </w:r>
          </w:p>
        </w:tc>
        <w:tc>
          <w:tcPr>
            <w:tcW w:w="7040" w:type="dxa"/>
            <w:vAlign w:val="bottom"/>
            <w:gridSpan w:val="2"/>
          </w:tcPr>
          <w:p>
            <w:pPr>
              <w:ind w:left="260"/>
              <w:spacing w:after="0"/>
              <w:rPr>
                <w:sz w:val="20"/>
                <w:szCs w:val="20"/>
                <w:color w:val="auto"/>
              </w:rPr>
            </w:pPr>
            <w:r>
              <w:rPr>
                <w:rFonts w:ascii="Arial" w:cs="Arial" w:eastAsia="Arial" w:hAnsi="Arial"/>
                <w:sz w:val="22"/>
                <w:szCs w:val="22"/>
                <w:color w:val="auto"/>
              </w:rPr>
              <w:t>REGISTRATION; EXCHANGE; SUBSTITUTION OF NOTES</w:t>
            </w:r>
          </w:p>
        </w:tc>
        <w:tc>
          <w:tcPr>
            <w:tcW w:w="140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13.1.</w:t>
            </w:r>
          </w:p>
        </w:tc>
        <w:tc>
          <w:tcPr>
            <w:tcW w:w="6240" w:type="dxa"/>
            <w:vAlign w:val="bottom"/>
          </w:tcPr>
          <w:p>
            <w:pPr>
              <w:ind w:left="280"/>
              <w:spacing w:after="0"/>
              <w:rPr>
                <w:sz w:val="20"/>
                <w:szCs w:val="20"/>
                <w:color w:val="auto"/>
              </w:rPr>
            </w:pPr>
            <w:r>
              <w:rPr>
                <w:rFonts w:ascii="Arial" w:cs="Arial" w:eastAsia="Arial" w:hAnsi="Arial"/>
                <w:sz w:val="22"/>
                <w:szCs w:val="22"/>
                <w:color w:val="auto"/>
              </w:rPr>
              <w:t>Registration of Notes</w:t>
            </w:r>
          </w:p>
        </w:tc>
        <w:tc>
          <w:tcPr>
            <w:tcW w:w="140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13.2.</w:t>
            </w:r>
          </w:p>
        </w:tc>
        <w:tc>
          <w:tcPr>
            <w:tcW w:w="6240" w:type="dxa"/>
            <w:vAlign w:val="bottom"/>
          </w:tcPr>
          <w:p>
            <w:pPr>
              <w:ind w:left="280"/>
              <w:spacing w:after="0"/>
              <w:rPr>
                <w:sz w:val="20"/>
                <w:szCs w:val="20"/>
                <w:color w:val="auto"/>
              </w:rPr>
            </w:pPr>
            <w:r>
              <w:rPr>
                <w:rFonts w:ascii="Arial" w:cs="Arial" w:eastAsia="Arial" w:hAnsi="Arial"/>
                <w:sz w:val="22"/>
                <w:szCs w:val="22"/>
                <w:color w:val="auto"/>
              </w:rPr>
              <w:t>Transfer and Exchange of Notes</w:t>
            </w:r>
          </w:p>
        </w:tc>
        <w:tc>
          <w:tcPr>
            <w:tcW w:w="140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13.3.</w:t>
            </w:r>
          </w:p>
        </w:tc>
        <w:tc>
          <w:tcPr>
            <w:tcW w:w="6240" w:type="dxa"/>
            <w:vAlign w:val="bottom"/>
          </w:tcPr>
          <w:p>
            <w:pPr>
              <w:ind w:left="280"/>
              <w:spacing w:after="0"/>
              <w:rPr>
                <w:sz w:val="20"/>
                <w:szCs w:val="20"/>
                <w:color w:val="auto"/>
              </w:rPr>
            </w:pPr>
            <w:r>
              <w:rPr>
                <w:rFonts w:ascii="Arial" w:cs="Arial" w:eastAsia="Arial" w:hAnsi="Arial"/>
                <w:sz w:val="22"/>
                <w:szCs w:val="22"/>
                <w:color w:val="auto"/>
              </w:rPr>
              <w:t>Replacement of Notes</w:t>
            </w:r>
          </w:p>
        </w:tc>
        <w:tc>
          <w:tcPr>
            <w:tcW w:w="140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689"/>
        </w:trPr>
        <w:tc>
          <w:tcPr>
            <w:tcW w:w="1440" w:type="dxa"/>
            <w:vAlign w:val="bottom"/>
          </w:tcPr>
          <w:p>
            <w:pPr>
              <w:spacing w:after="0"/>
              <w:rPr>
                <w:sz w:val="20"/>
                <w:szCs w:val="20"/>
                <w:color w:val="auto"/>
              </w:rPr>
            </w:pPr>
            <w:r>
              <w:rPr>
                <w:rFonts w:ascii="Arial" w:cs="Arial" w:eastAsia="Arial" w:hAnsi="Arial"/>
                <w:sz w:val="22"/>
                <w:szCs w:val="22"/>
                <w:color w:val="auto"/>
              </w:rPr>
              <w:t>SECTION 14</w:t>
            </w:r>
          </w:p>
        </w:tc>
        <w:tc>
          <w:tcPr>
            <w:tcW w:w="7040" w:type="dxa"/>
            <w:vAlign w:val="bottom"/>
            <w:gridSpan w:val="2"/>
          </w:tcPr>
          <w:p>
            <w:pPr>
              <w:ind w:left="260"/>
              <w:spacing w:after="0"/>
              <w:rPr>
                <w:sz w:val="20"/>
                <w:szCs w:val="20"/>
                <w:color w:val="auto"/>
              </w:rPr>
            </w:pPr>
            <w:r>
              <w:rPr>
                <w:rFonts w:ascii="Arial" w:cs="Arial" w:eastAsia="Arial" w:hAnsi="Arial"/>
                <w:sz w:val="22"/>
                <w:szCs w:val="22"/>
                <w:color w:val="auto"/>
              </w:rPr>
              <w:t>PAYMENTS ON NOTES</w:t>
            </w:r>
          </w:p>
        </w:tc>
        <w:tc>
          <w:tcPr>
            <w:tcW w:w="14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14.1.</w:t>
            </w:r>
          </w:p>
        </w:tc>
        <w:tc>
          <w:tcPr>
            <w:tcW w:w="6240" w:type="dxa"/>
            <w:vAlign w:val="bottom"/>
          </w:tcPr>
          <w:p>
            <w:pPr>
              <w:ind w:left="280"/>
              <w:spacing w:after="0"/>
              <w:rPr>
                <w:sz w:val="20"/>
                <w:szCs w:val="20"/>
                <w:color w:val="auto"/>
              </w:rPr>
            </w:pPr>
            <w:r>
              <w:rPr>
                <w:rFonts w:ascii="Arial" w:cs="Arial" w:eastAsia="Arial" w:hAnsi="Arial"/>
                <w:sz w:val="22"/>
                <w:szCs w:val="22"/>
                <w:color w:val="auto"/>
              </w:rPr>
              <w:t>Place of Payment</w:t>
            </w:r>
          </w:p>
        </w:tc>
        <w:tc>
          <w:tcPr>
            <w:tcW w:w="14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14.2.</w:t>
            </w:r>
          </w:p>
        </w:tc>
        <w:tc>
          <w:tcPr>
            <w:tcW w:w="6240" w:type="dxa"/>
            <w:vAlign w:val="bottom"/>
          </w:tcPr>
          <w:p>
            <w:pPr>
              <w:ind w:left="280"/>
              <w:spacing w:after="0"/>
              <w:rPr>
                <w:sz w:val="20"/>
                <w:szCs w:val="20"/>
                <w:color w:val="auto"/>
              </w:rPr>
            </w:pPr>
            <w:r>
              <w:rPr>
                <w:rFonts w:ascii="Arial" w:cs="Arial" w:eastAsia="Arial" w:hAnsi="Arial"/>
                <w:sz w:val="22"/>
                <w:szCs w:val="22"/>
                <w:color w:val="auto"/>
              </w:rPr>
              <w:t>Home Office Payment</w:t>
            </w:r>
          </w:p>
        </w:tc>
        <w:tc>
          <w:tcPr>
            <w:tcW w:w="14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689"/>
        </w:trPr>
        <w:tc>
          <w:tcPr>
            <w:tcW w:w="1440" w:type="dxa"/>
            <w:vAlign w:val="bottom"/>
          </w:tcPr>
          <w:p>
            <w:pPr>
              <w:spacing w:after="0"/>
              <w:rPr>
                <w:sz w:val="20"/>
                <w:szCs w:val="20"/>
                <w:color w:val="auto"/>
              </w:rPr>
            </w:pPr>
            <w:r>
              <w:rPr>
                <w:rFonts w:ascii="Arial" w:cs="Arial" w:eastAsia="Arial" w:hAnsi="Arial"/>
                <w:sz w:val="22"/>
                <w:szCs w:val="22"/>
                <w:color w:val="auto"/>
              </w:rPr>
              <w:t>SECTION 15</w:t>
            </w:r>
          </w:p>
        </w:tc>
        <w:tc>
          <w:tcPr>
            <w:tcW w:w="7040" w:type="dxa"/>
            <w:vAlign w:val="bottom"/>
            <w:gridSpan w:val="2"/>
          </w:tcPr>
          <w:p>
            <w:pPr>
              <w:ind w:left="260"/>
              <w:spacing w:after="0"/>
              <w:rPr>
                <w:sz w:val="20"/>
                <w:szCs w:val="20"/>
                <w:color w:val="auto"/>
              </w:rPr>
            </w:pPr>
            <w:r>
              <w:rPr>
                <w:rFonts w:ascii="Arial" w:cs="Arial" w:eastAsia="Arial" w:hAnsi="Arial"/>
                <w:sz w:val="22"/>
                <w:szCs w:val="22"/>
                <w:color w:val="auto"/>
              </w:rPr>
              <w:t>EXPENSES, ETC</w:t>
            </w:r>
          </w:p>
        </w:tc>
        <w:tc>
          <w:tcPr>
            <w:tcW w:w="14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15.1.</w:t>
            </w:r>
          </w:p>
        </w:tc>
        <w:tc>
          <w:tcPr>
            <w:tcW w:w="6240" w:type="dxa"/>
            <w:vAlign w:val="bottom"/>
          </w:tcPr>
          <w:p>
            <w:pPr>
              <w:ind w:left="280"/>
              <w:spacing w:after="0"/>
              <w:rPr>
                <w:sz w:val="20"/>
                <w:szCs w:val="20"/>
                <w:color w:val="auto"/>
              </w:rPr>
            </w:pPr>
            <w:r>
              <w:rPr>
                <w:rFonts w:ascii="Arial" w:cs="Arial" w:eastAsia="Arial" w:hAnsi="Arial"/>
                <w:sz w:val="22"/>
                <w:szCs w:val="22"/>
                <w:color w:val="auto"/>
              </w:rPr>
              <w:t>Transaction Expenses</w:t>
            </w:r>
          </w:p>
        </w:tc>
        <w:tc>
          <w:tcPr>
            <w:tcW w:w="14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15.2.</w:t>
            </w:r>
          </w:p>
        </w:tc>
        <w:tc>
          <w:tcPr>
            <w:tcW w:w="6240" w:type="dxa"/>
            <w:vAlign w:val="bottom"/>
          </w:tcPr>
          <w:p>
            <w:pPr>
              <w:ind w:left="280"/>
              <w:spacing w:after="0"/>
              <w:rPr>
                <w:sz w:val="20"/>
                <w:szCs w:val="20"/>
                <w:color w:val="auto"/>
              </w:rPr>
            </w:pPr>
            <w:r>
              <w:rPr>
                <w:rFonts w:ascii="Arial" w:cs="Arial" w:eastAsia="Arial" w:hAnsi="Arial"/>
                <w:sz w:val="22"/>
                <w:szCs w:val="22"/>
                <w:color w:val="auto"/>
              </w:rPr>
              <w:t>Survival</w:t>
            </w:r>
          </w:p>
        </w:tc>
        <w:tc>
          <w:tcPr>
            <w:tcW w:w="140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657"/>
        </w:trPr>
        <w:tc>
          <w:tcPr>
            <w:tcW w:w="1440" w:type="dxa"/>
            <w:vAlign w:val="bottom"/>
          </w:tcPr>
          <w:p>
            <w:pPr>
              <w:spacing w:after="0"/>
              <w:rPr>
                <w:sz w:val="20"/>
                <w:szCs w:val="20"/>
                <w:color w:val="auto"/>
              </w:rPr>
            </w:pPr>
            <w:r>
              <w:rPr>
                <w:rFonts w:ascii="Arial" w:cs="Arial" w:eastAsia="Arial" w:hAnsi="Arial"/>
                <w:sz w:val="22"/>
                <w:szCs w:val="22"/>
                <w:color w:val="auto"/>
              </w:rPr>
              <w:t>SECTION 16</w:t>
            </w:r>
          </w:p>
        </w:tc>
        <w:tc>
          <w:tcPr>
            <w:tcW w:w="7040" w:type="dxa"/>
            <w:vAlign w:val="bottom"/>
            <w:gridSpan w:val="2"/>
          </w:tcPr>
          <w:p>
            <w:pPr>
              <w:ind w:left="260"/>
              <w:spacing w:after="0"/>
              <w:rPr>
                <w:sz w:val="20"/>
                <w:szCs w:val="20"/>
                <w:color w:val="auto"/>
              </w:rPr>
            </w:pPr>
            <w:r>
              <w:rPr>
                <w:rFonts w:ascii="Arial" w:cs="Arial" w:eastAsia="Arial" w:hAnsi="Arial"/>
                <w:sz w:val="22"/>
                <w:szCs w:val="22"/>
                <w:color w:val="auto"/>
              </w:rPr>
              <w:t>SURVIVAL OF REPRESENTATIONS AND WARRANTIES;</w:t>
            </w:r>
          </w:p>
        </w:tc>
        <w:tc>
          <w:tcPr>
            <w:tcW w:w="1400" w:type="dxa"/>
            <w:vAlign w:val="bottom"/>
          </w:tcPr>
          <w:p>
            <w:pPr>
              <w:spacing w:after="0"/>
              <w:rPr>
                <w:sz w:val="24"/>
                <w:szCs w:val="24"/>
                <w:color w:val="auto"/>
              </w:rPr>
            </w:pPr>
          </w:p>
        </w:tc>
      </w:tr>
      <w:tr>
        <w:trPr>
          <w:trHeight w:val="275"/>
        </w:trPr>
        <w:tc>
          <w:tcPr>
            <w:tcW w:w="1440" w:type="dxa"/>
            <w:vAlign w:val="bottom"/>
          </w:tcPr>
          <w:p>
            <w:pPr>
              <w:spacing w:after="0"/>
              <w:rPr>
                <w:sz w:val="23"/>
                <w:szCs w:val="23"/>
                <w:color w:val="auto"/>
              </w:rPr>
            </w:pPr>
          </w:p>
        </w:tc>
        <w:tc>
          <w:tcPr>
            <w:tcW w:w="7040" w:type="dxa"/>
            <w:vAlign w:val="bottom"/>
            <w:gridSpan w:val="2"/>
          </w:tcPr>
          <w:p>
            <w:pPr>
              <w:ind w:left="260"/>
              <w:spacing w:after="0"/>
              <w:rPr>
                <w:sz w:val="20"/>
                <w:szCs w:val="20"/>
                <w:color w:val="auto"/>
              </w:rPr>
            </w:pPr>
            <w:r>
              <w:rPr>
                <w:rFonts w:ascii="Arial" w:cs="Arial" w:eastAsia="Arial" w:hAnsi="Arial"/>
                <w:sz w:val="22"/>
                <w:szCs w:val="22"/>
                <w:color w:val="auto"/>
              </w:rPr>
              <w:t>ENTIRE AGREEMENT</w:t>
            </w:r>
          </w:p>
        </w:tc>
        <w:tc>
          <w:tcPr>
            <w:tcW w:w="1400" w:type="dxa"/>
            <w:vAlign w:val="bottom"/>
          </w:tcPr>
          <w:p>
            <w:pPr>
              <w:jc w:val="right"/>
              <w:spacing w:after="0"/>
              <w:rPr>
                <w:sz w:val="20"/>
                <w:szCs w:val="20"/>
                <w:color w:val="auto"/>
              </w:rPr>
            </w:pPr>
            <w:r>
              <w:rPr>
                <w:rFonts w:ascii="Arial" w:cs="Arial" w:eastAsia="Arial" w:hAnsi="Arial"/>
                <w:sz w:val="22"/>
                <w:szCs w:val="22"/>
                <w:color w:val="auto"/>
              </w:rPr>
              <w:t>47</w:t>
            </w:r>
          </w:p>
        </w:tc>
      </w:tr>
    </w:tbl>
    <w:p>
      <w:pPr>
        <w:spacing w:after="0" w:line="200" w:lineRule="exact"/>
        <w:rPr>
          <w:sz w:val="20"/>
          <w:szCs w:val="20"/>
          <w:color w:val="auto"/>
        </w:rPr>
      </w:pPr>
    </w:p>
    <w:p>
      <w:pPr>
        <w:sectPr>
          <w:pgSz w:w="11900" w:h="16838" w:orient="portrait"/>
          <w:cols w:equalWidth="0" w:num="1">
            <w:col w:w="9880"/>
          </w:cols>
          <w:pgMar w:left="920" w:top="820" w:right="1099" w:bottom="1440" w:gutter="0" w:footer="0" w:header="0"/>
        </w:sectPr>
      </w:pPr>
    </w:p>
    <w:p>
      <w:pPr>
        <w:spacing w:after="0" w:line="322" w:lineRule="exact"/>
        <w:rPr>
          <w:sz w:val="20"/>
          <w:szCs w:val="20"/>
          <w:color w:val="auto"/>
        </w:rPr>
      </w:pPr>
    </w:p>
    <w:p>
      <w:pPr>
        <w:ind w:left="35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iii</w:t>
      </w:r>
      <w:r>
        <w:rPr>
          <w:rFonts w:ascii="MS PGothic" w:cs="MS PGothic" w:eastAsia="MS PGothic" w:hAnsi="MS PGothic"/>
          <w:sz w:val="22"/>
          <w:szCs w:val="22"/>
          <w:color w:val="auto"/>
        </w:rPr>
        <w:t>‑</w:t>
      </w:r>
    </w:p>
    <w:p>
      <w:pPr>
        <w:sectPr>
          <w:pgSz w:w="11900" w:h="16838" w:orient="portrait"/>
          <w:cols w:equalWidth="0" w:num="1">
            <w:col w:w="9880"/>
          </w:cols>
          <w:pgMar w:left="920" w:top="820" w:right="109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75"/>
        </w:trPr>
        <w:tc>
          <w:tcPr>
            <w:tcW w:w="1440" w:type="dxa"/>
            <w:vAlign w:val="bottom"/>
          </w:tcPr>
          <w:p>
            <w:pPr>
              <w:spacing w:after="0"/>
              <w:rPr>
                <w:sz w:val="20"/>
                <w:szCs w:val="20"/>
                <w:color w:val="auto"/>
              </w:rPr>
            </w:pPr>
            <w:r>
              <w:rPr>
                <w:rFonts w:ascii="Arial" w:cs="Arial" w:eastAsia="Arial" w:hAnsi="Arial"/>
                <w:sz w:val="22"/>
                <w:szCs w:val="22"/>
                <w:color w:val="auto"/>
              </w:rPr>
              <w:t>SECTION 17</w:t>
            </w:r>
          </w:p>
        </w:tc>
        <w:tc>
          <w:tcPr>
            <w:tcW w:w="6620" w:type="dxa"/>
            <w:vAlign w:val="bottom"/>
            <w:gridSpan w:val="2"/>
          </w:tcPr>
          <w:p>
            <w:pPr>
              <w:ind w:left="260"/>
              <w:spacing w:after="0"/>
              <w:rPr>
                <w:sz w:val="20"/>
                <w:szCs w:val="20"/>
                <w:color w:val="auto"/>
              </w:rPr>
            </w:pPr>
            <w:r>
              <w:rPr>
                <w:rFonts w:ascii="Arial" w:cs="Arial" w:eastAsia="Arial" w:hAnsi="Arial"/>
                <w:sz w:val="22"/>
                <w:szCs w:val="22"/>
                <w:color w:val="auto"/>
              </w:rPr>
              <w:t>AMENDMENT AND WAIVER</w:t>
            </w:r>
          </w:p>
        </w:tc>
        <w:tc>
          <w:tcPr>
            <w:tcW w:w="18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17.1.</w:t>
            </w:r>
          </w:p>
        </w:tc>
        <w:tc>
          <w:tcPr>
            <w:tcW w:w="5820" w:type="dxa"/>
            <w:vAlign w:val="bottom"/>
          </w:tcPr>
          <w:p>
            <w:pPr>
              <w:ind w:left="280"/>
              <w:spacing w:after="0"/>
              <w:rPr>
                <w:sz w:val="20"/>
                <w:szCs w:val="20"/>
                <w:color w:val="auto"/>
              </w:rPr>
            </w:pPr>
            <w:r>
              <w:rPr>
                <w:rFonts w:ascii="Arial" w:cs="Arial" w:eastAsia="Arial" w:hAnsi="Arial"/>
                <w:sz w:val="22"/>
                <w:szCs w:val="22"/>
                <w:color w:val="auto"/>
              </w:rPr>
              <w:t>Requirements</w:t>
            </w:r>
          </w:p>
        </w:tc>
        <w:tc>
          <w:tcPr>
            <w:tcW w:w="18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17.2.</w:t>
            </w:r>
          </w:p>
        </w:tc>
        <w:tc>
          <w:tcPr>
            <w:tcW w:w="5820" w:type="dxa"/>
            <w:vAlign w:val="bottom"/>
          </w:tcPr>
          <w:p>
            <w:pPr>
              <w:ind w:left="280"/>
              <w:spacing w:after="0"/>
              <w:rPr>
                <w:sz w:val="20"/>
                <w:szCs w:val="20"/>
                <w:color w:val="auto"/>
              </w:rPr>
            </w:pPr>
            <w:r>
              <w:rPr>
                <w:rFonts w:ascii="Arial" w:cs="Arial" w:eastAsia="Arial" w:hAnsi="Arial"/>
                <w:sz w:val="22"/>
                <w:szCs w:val="22"/>
                <w:color w:val="auto"/>
              </w:rPr>
              <w:t>Solicitation of Holders of Notes</w:t>
            </w:r>
          </w:p>
        </w:tc>
        <w:tc>
          <w:tcPr>
            <w:tcW w:w="18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17.3.</w:t>
            </w:r>
          </w:p>
        </w:tc>
        <w:tc>
          <w:tcPr>
            <w:tcW w:w="5820" w:type="dxa"/>
            <w:vAlign w:val="bottom"/>
          </w:tcPr>
          <w:p>
            <w:pPr>
              <w:ind w:left="280"/>
              <w:spacing w:after="0"/>
              <w:rPr>
                <w:sz w:val="20"/>
                <w:szCs w:val="20"/>
                <w:color w:val="auto"/>
              </w:rPr>
            </w:pPr>
            <w:r>
              <w:rPr>
                <w:rFonts w:ascii="Arial" w:cs="Arial" w:eastAsia="Arial" w:hAnsi="Arial"/>
                <w:sz w:val="22"/>
                <w:szCs w:val="22"/>
                <w:color w:val="auto"/>
              </w:rPr>
              <w:t>Binding Effect, Etc</w:t>
            </w:r>
          </w:p>
        </w:tc>
        <w:tc>
          <w:tcPr>
            <w:tcW w:w="182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17.4.</w:t>
            </w:r>
          </w:p>
        </w:tc>
        <w:tc>
          <w:tcPr>
            <w:tcW w:w="5820" w:type="dxa"/>
            <w:vAlign w:val="bottom"/>
          </w:tcPr>
          <w:p>
            <w:pPr>
              <w:ind w:left="280"/>
              <w:spacing w:after="0"/>
              <w:rPr>
                <w:sz w:val="20"/>
                <w:szCs w:val="20"/>
                <w:color w:val="auto"/>
              </w:rPr>
            </w:pPr>
            <w:r>
              <w:rPr>
                <w:rFonts w:ascii="Arial" w:cs="Arial" w:eastAsia="Arial" w:hAnsi="Arial"/>
                <w:sz w:val="22"/>
                <w:szCs w:val="22"/>
                <w:color w:val="auto"/>
              </w:rPr>
              <w:t>Notes Held by Company, etc</w:t>
            </w:r>
          </w:p>
        </w:tc>
        <w:tc>
          <w:tcPr>
            <w:tcW w:w="182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689"/>
        </w:trPr>
        <w:tc>
          <w:tcPr>
            <w:tcW w:w="1440" w:type="dxa"/>
            <w:vAlign w:val="bottom"/>
          </w:tcPr>
          <w:p>
            <w:pPr>
              <w:spacing w:after="0"/>
              <w:rPr>
                <w:sz w:val="20"/>
                <w:szCs w:val="20"/>
                <w:color w:val="auto"/>
              </w:rPr>
            </w:pPr>
            <w:r>
              <w:rPr>
                <w:rFonts w:ascii="Arial" w:cs="Arial" w:eastAsia="Arial" w:hAnsi="Arial"/>
                <w:sz w:val="22"/>
                <w:szCs w:val="22"/>
                <w:color w:val="auto"/>
              </w:rPr>
              <w:t>SECTION 18</w:t>
            </w:r>
          </w:p>
        </w:tc>
        <w:tc>
          <w:tcPr>
            <w:tcW w:w="6620" w:type="dxa"/>
            <w:vAlign w:val="bottom"/>
            <w:gridSpan w:val="2"/>
          </w:tcPr>
          <w:p>
            <w:pPr>
              <w:ind w:left="260"/>
              <w:spacing w:after="0"/>
              <w:rPr>
                <w:sz w:val="20"/>
                <w:szCs w:val="20"/>
                <w:color w:val="auto"/>
              </w:rPr>
            </w:pPr>
            <w:r>
              <w:rPr>
                <w:rFonts w:ascii="Arial" w:cs="Arial" w:eastAsia="Arial" w:hAnsi="Arial"/>
                <w:sz w:val="22"/>
                <w:szCs w:val="22"/>
                <w:color w:val="auto"/>
              </w:rPr>
              <w:t>NOTICES</w:t>
            </w:r>
          </w:p>
        </w:tc>
        <w:tc>
          <w:tcPr>
            <w:tcW w:w="182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689"/>
        </w:trPr>
        <w:tc>
          <w:tcPr>
            <w:tcW w:w="1440" w:type="dxa"/>
            <w:vAlign w:val="bottom"/>
          </w:tcPr>
          <w:p>
            <w:pPr>
              <w:spacing w:after="0"/>
              <w:rPr>
                <w:sz w:val="20"/>
                <w:szCs w:val="20"/>
                <w:color w:val="auto"/>
              </w:rPr>
            </w:pPr>
            <w:r>
              <w:rPr>
                <w:rFonts w:ascii="Arial" w:cs="Arial" w:eastAsia="Arial" w:hAnsi="Arial"/>
                <w:sz w:val="22"/>
                <w:szCs w:val="22"/>
                <w:color w:val="auto"/>
              </w:rPr>
              <w:t>SECTION 19</w:t>
            </w:r>
          </w:p>
        </w:tc>
        <w:tc>
          <w:tcPr>
            <w:tcW w:w="6620" w:type="dxa"/>
            <w:vAlign w:val="bottom"/>
            <w:gridSpan w:val="2"/>
          </w:tcPr>
          <w:p>
            <w:pPr>
              <w:ind w:left="260"/>
              <w:spacing w:after="0"/>
              <w:rPr>
                <w:sz w:val="20"/>
                <w:szCs w:val="20"/>
                <w:color w:val="auto"/>
              </w:rPr>
            </w:pPr>
            <w:r>
              <w:rPr>
                <w:rFonts w:ascii="Arial" w:cs="Arial" w:eastAsia="Arial" w:hAnsi="Arial"/>
                <w:sz w:val="22"/>
                <w:szCs w:val="22"/>
                <w:color w:val="auto"/>
              </w:rPr>
              <w:t>REPRODUCTION OF DOCUMENTS</w:t>
            </w:r>
          </w:p>
        </w:tc>
        <w:tc>
          <w:tcPr>
            <w:tcW w:w="182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689"/>
        </w:trPr>
        <w:tc>
          <w:tcPr>
            <w:tcW w:w="1440" w:type="dxa"/>
            <w:vAlign w:val="bottom"/>
          </w:tcPr>
          <w:p>
            <w:pPr>
              <w:spacing w:after="0"/>
              <w:rPr>
                <w:sz w:val="20"/>
                <w:szCs w:val="20"/>
                <w:color w:val="auto"/>
              </w:rPr>
            </w:pPr>
            <w:r>
              <w:rPr>
                <w:rFonts w:ascii="Arial" w:cs="Arial" w:eastAsia="Arial" w:hAnsi="Arial"/>
                <w:sz w:val="22"/>
                <w:szCs w:val="22"/>
                <w:color w:val="auto"/>
              </w:rPr>
              <w:t>SECTION 20</w:t>
            </w:r>
          </w:p>
        </w:tc>
        <w:tc>
          <w:tcPr>
            <w:tcW w:w="6620" w:type="dxa"/>
            <w:vAlign w:val="bottom"/>
            <w:gridSpan w:val="2"/>
          </w:tcPr>
          <w:p>
            <w:pPr>
              <w:ind w:left="260"/>
              <w:spacing w:after="0"/>
              <w:rPr>
                <w:sz w:val="20"/>
                <w:szCs w:val="20"/>
                <w:color w:val="auto"/>
              </w:rPr>
            </w:pPr>
            <w:r>
              <w:rPr>
                <w:rFonts w:ascii="Arial" w:cs="Arial" w:eastAsia="Arial" w:hAnsi="Arial"/>
                <w:sz w:val="22"/>
                <w:szCs w:val="22"/>
                <w:color w:val="auto"/>
              </w:rPr>
              <w:t>CONFIDENTIAL INFORMATION</w:t>
            </w:r>
          </w:p>
        </w:tc>
        <w:tc>
          <w:tcPr>
            <w:tcW w:w="18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689"/>
        </w:trPr>
        <w:tc>
          <w:tcPr>
            <w:tcW w:w="1440" w:type="dxa"/>
            <w:vAlign w:val="bottom"/>
          </w:tcPr>
          <w:p>
            <w:pPr>
              <w:spacing w:after="0"/>
              <w:rPr>
                <w:sz w:val="20"/>
                <w:szCs w:val="20"/>
                <w:color w:val="auto"/>
              </w:rPr>
            </w:pPr>
            <w:r>
              <w:rPr>
                <w:rFonts w:ascii="Arial" w:cs="Arial" w:eastAsia="Arial" w:hAnsi="Arial"/>
                <w:sz w:val="22"/>
                <w:szCs w:val="22"/>
                <w:color w:val="auto"/>
              </w:rPr>
              <w:t>SECTION 21</w:t>
            </w:r>
          </w:p>
        </w:tc>
        <w:tc>
          <w:tcPr>
            <w:tcW w:w="6620" w:type="dxa"/>
            <w:vAlign w:val="bottom"/>
            <w:gridSpan w:val="2"/>
          </w:tcPr>
          <w:p>
            <w:pPr>
              <w:ind w:left="260"/>
              <w:spacing w:after="0"/>
              <w:rPr>
                <w:sz w:val="20"/>
                <w:szCs w:val="20"/>
                <w:color w:val="auto"/>
              </w:rPr>
            </w:pPr>
            <w:r>
              <w:rPr>
                <w:rFonts w:ascii="Arial" w:cs="Arial" w:eastAsia="Arial" w:hAnsi="Arial"/>
                <w:sz w:val="22"/>
                <w:szCs w:val="22"/>
                <w:color w:val="auto"/>
              </w:rPr>
              <w:t>SUBSTITUTION OF PURCHASER</w:t>
            </w:r>
          </w:p>
        </w:tc>
        <w:tc>
          <w:tcPr>
            <w:tcW w:w="18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689"/>
        </w:trPr>
        <w:tc>
          <w:tcPr>
            <w:tcW w:w="1440" w:type="dxa"/>
            <w:vAlign w:val="bottom"/>
          </w:tcPr>
          <w:p>
            <w:pPr>
              <w:spacing w:after="0"/>
              <w:rPr>
                <w:sz w:val="20"/>
                <w:szCs w:val="20"/>
                <w:color w:val="auto"/>
              </w:rPr>
            </w:pPr>
            <w:r>
              <w:rPr>
                <w:rFonts w:ascii="Arial" w:cs="Arial" w:eastAsia="Arial" w:hAnsi="Arial"/>
                <w:sz w:val="22"/>
                <w:szCs w:val="22"/>
                <w:color w:val="auto"/>
              </w:rPr>
              <w:t>SECTION 22</w:t>
            </w:r>
          </w:p>
        </w:tc>
        <w:tc>
          <w:tcPr>
            <w:tcW w:w="6620" w:type="dxa"/>
            <w:vAlign w:val="bottom"/>
            <w:gridSpan w:val="2"/>
          </w:tcPr>
          <w:p>
            <w:pPr>
              <w:ind w:left="260"/>
              <w:spacing w:after="0"/>
              <w:rPr>
                <w:sz w:val="20"/>
                <w:szCs w:val="20"/>
                <w:color w:val="auto"/>
              </w:rPr>
            </w:pPr>
            <w:r>
              <w:rPr>
                <w:rFonts w:ascii="Arial" w:cs="Arial" w:eastAsia="Arial" w:hAnsi="Arial"/>
                <w:sz w:val="22"/>
                <w:szCs w:val="22"/>
                <w:color w:val="auto"/>
              </w:rPr>
              <w:t>MISCELLANEOUS</w:t>
            </w:r>
          </w:p>
        </w:tc>
        <w:tc>
          <w:tcPr>
            <w:tcW w:w="18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432"/>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22.1.</w:t>
            </w:r>
          </w:p>
        </w:tc>
        <w:tc>
          <w:tcPr>
            <w:tcW w:w="5820" w:type="dxa"/>
            <w:vAlign w:val="bottom"/>
          </w:tcPr>
          <w:p>
            <w:pPr>
              <w:ind w:left="280"/>
              <w:spacing w:after="0"/>
              <w:rPr>
                <w:sz w:val="20"/>
                <w:szCs w:val="20"/>
                <w:color w:val="auto"/>
              </w:rPr>
            </w:pPr>
            <w:r>
              <w:rPr>
                <w:rFonts w:ascii="Arial" w:cs="Arial" w:eastAsia="Arial" w:hAnsi="Arial"/>
                <w:sz w:val="22"/>
                <w:szCs w:val="22"/>
                <w:color w:val="auto"/>
              </w:rPr>
              <w:t>Successors and Assigns</w:t>
            </w:r>
          </w:p>
        </w:tc>
        <w:tc>
          <w:tcPr>
            <w:tcW w:w="18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22.2.</w:t>
            </w:r>
          </w:p>
        </w:tc>
        <w:tc>
          <w:tcPr>
            <w:tcW w:w="5820" w:type="dxa"/>
            <w:vAlign w:val="bottom"/>
          </w:tcPr>
          <w:p>
            <w:pPr>
              <w:ind w:left="280"/>
              <w:spacing w:after="0"/>
              <w:rPr>
                <w:sz w:val="20"/>
                <w:szCs w:val="20"/>
                <w:color w:val="auto"/>
              </w:rPr>
            </w:pPr>
            <w:r>
              <w:rPr>
                <w:rFonts w:ascii="Arial" w:cs="Arial" w:eastAsia="Arial" w:hAnsi="Arial"/>
                <w:sz w:val="22"/>
                <w:szCs w:val="22"/>
                <w:color w:val="auto"/>
              </w:rPr>
              <w:t>Accounting Terms</w:t>
            </w:r>
          </w:p>
        </w:tc>
        <w:tc>
          <w:tcPr>
            <w:tcW w:w="18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22.3.</w:t>
            </w:r>
          </w:p>
        </w:tc>
        <w:tc>
          <w:tcPr>
            <w:tcW w:w="5820" w:type="dxa"/>
            <w:vAlign w:val="bottom"/>
          </w:tcPr>
          <w:p>
            <w:pPr>
              <w:ind w:left="280"/>
              <w:spacing w:after="0"/>
              <w:rPr>
                <w:sz w:val="20"/>
                <w:szCs w:val="20"/>
                <w:color w:val="auto"/>
              </w:rPr>
            </w:pPr>
            <w:r>
              <w:rPr>
                <w:rFonts w:ascii="Arial" w:cs="Arial" w:eastAsia="Arial" w:hAnsi="Arial"/>
                <w:sz w:val="22"/>
                <w:szCs w:val="22"/>
                <w:color w:val="auto"/>
              </w:rPr>
              <w:t>Severability</w:t>
            </w:r>
          </w:p>
        </w:tc>
        <w:tc>
          <w:tcPr>
            <w:tcW w:w="18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22.4.</w:t>
            </w:r>
          </w:p>
        </w:tc>
        <w:tc>
          <w:tcPr>
            <w:tcW w:w="5820" w:type="dxa"/>
            <w:vAlign w:val="bottom"/>
          </w:tcPr>
          <w:p>
            <w:pPr>
              <w:ind w:left="280"/>
              <w:spacing w:after="0"/>
              <w:rPr>
                <w:sz w:val="20"/>
                <w:szCs w:val="20"/>
                <w:color w:val="auto"/>
              </w:rPr>
            </w:pPr>
            <w:r>
              <w:rPr>
                <w:rFonts w:ascii="Arial" w:cs="Arial" w:eastAsia="Arial" w:hAnsi="Arial"/>
                <w:sz w:val="22"/>
                <w:szCs w:val="22"/>
                <w:color w:val="auto"/>
              </w:rPr>
              <w:t>Construction, Etc</w:t>
            </w:r>
          </w:p>
        </w:tc>
        <w:tc>
          <w:tcPr>
            <w:tcW w:w="18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22.5.</w:t>
            </w:r>
          </w:p>
        </w:tc>
        <w:tc>
          <w:tcPr>
            <w:tcW w:w="5820" w:type="dxa"/>
            <w:vAlign w:val="bottom"/>
          </w:tcPr>
          <w:p>
            <w:pPr>
              <w:ind w:left="280"/>
              <w:spacing w:after="0"/>
              <w:rPr>
                <w:sz w:val="20"/>
                <w:szCs w:val="20"/>
                <w:color w:val="auto"/>
              </w:rPr>
            </w:pPr>
            <w:r>
              <w:rPr>
                <w:rFonts w:ascii="Arial" w:cs="Arial" w:eastAsia="Arial" w:hAnsi="Arial"/>
                <w:sz w:val="22"/>
                <w:szCs w:val="22"/>
                <w:color w:val="auto"/>
              </w:rPr>
              <w:t>Counterparts</w:t>
            </w:r>
          </w:p>
        </w:tc>
        <w:tc>
          <w:tcPr>
            <w:tcW w:w="18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22.6.</w:t>
            </w:r>
          </w:p>
        </w:tc>
        <w:tc>
          <w:tcPr>
            <w:tcW w:w="5820" w:type="dxa"/>
            <w:vAlign w:val="bottom"/>
          </w:tcPr>
          <w:p>
            <w:pPr>
              <w:ind w:left="280"/>
              <w:spacing w:after="0"/>
              <w:rPr>
                <w:sz w:val="20"/>
                <w:szCs w:val="20"/>
                <w:color w:val="auto"/>
              </w:rPr>
            </w:pPr>
            <w:r>
              <w:rPr>
                <w:rFonts w:ascii="Arial" w:cs="Arial" w:eastAsia="Arial" w:hAnsi="Arial"/>
                <w:sz w:val="22"/>
                <w:szCs w:val="22"/>
                <w:color w:val="auto"/>
              </w:rPr>
              <w:t>Governing Law</w:t>
            </w:r>
          </w:p>
        </w:tc>
        <w:tc>
          <w:tcPr>
            <w:tcW w:w="18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2240" w:type="dxa"/>
            <w:vAlign w:val="bottom"/>
            <w:gridSpan w:val="2"/>
          </w:tcPr>
          <w:p>
            <w:pPr>
              <w:ind w:left="820"/>
              <w:spacing w:after="0"/>
              <w:rPr>
                <w:sz w:val="20"/>
                <w:szCs w:val="20"/>
                <w:color w:val="auto"/>
              </w:rPr>
            </w:pPr>
            <w:r>
              <w:rPr>
                <w:rFonts w:ascii="Arial" w:cs="Arial" w:eastAsia="Arial" w:hAnsi="Arial"/>
                <w:sz w:val="22"/>
                <w:szCs w:val="22"/>
                <w:color w:val="auto"/>
              </w:rPr>
              <w:t>Section 22.7.</w:t>
            </w:r>
          </w:p>
        </w:tc>
        <w:tc>
          <w:tcPr>
            <w:tcW w:w="5820" w:type="dxa"/>
            <w:vAlign w:val="bottom"/>
          </w:tcPr>
          <w:p>
            <w:pPr>
              <w:ind w:left="280"/>
              <w:spacing w:after="0"/>
              <w:rPr>
                <w:sz w:val="20"/>
                <w:szCs w:val="20"/>
                <w:color w:val="auto"/>
              </w:rPr>
            </w:pPr>
            <w:r>
              <w:rPr>
                <w:rFonts w:ascii="Arial" w:cs="Arial" w:eastAsia="Arial" w:hAnsi="Arial"/>
                <w:sz w:val="22"/>
                <w:szCs w:val="22"/>
                <w:color w:val="auto"/>
              </w:rPr>
              <w:t>Jurisdiction and Process; Waiver of Jury Trial</w:t>
            </w:r>
          </w:p>
        </w:tc>
        <w:tc>
          <w:tcPr>
            <w:tcW w:w="18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689"/>
        </w:trPr>
        <w:tc>
          <w:tcPr>
            <w:tcW w:w="1440" w:type="dxa"/>
            <w:vAlign w:val="bottom"/>
          </w:tcPr>
          <w:p>
            <w:pPr>
              <w:spacing w:after="0"/>
              <w:rPr>
                <w:sz w:val="20"/>
                <w:szCs w:val="20"/>
                <w:color w:val="auto"/>
              </w:rPr>
            </w:pPr>
            <w:r>
              <w:rPr>
                <w:rFonts w:ascii="Arial" w:cs="Arial" w:eastAsia="Arial" w:hAnsi="Arial"/>
                <w:sz w:val="22"/>
                <w:szCs w:val="22"/>
                <w:color w:val="auto"/>
              </w:rPr>
              <w:t>Signature</w:t>
            </w:r>
          </w:p>
        </w:tc>
        <w:tc>
          <w:tcPr>
            <w:tcW w:w="8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2"/>
                <w:szCs w:val="22"/>
                <w:color w:val="auto"/>
              </w:rPr>
              <w:t>56</w:t>
            </w:r>
          </w:p>
        </w:tc>
      </w:tr>
    </w:tbl>
    <w:p>
      <w:pPr>
        <w:spacing w:after="0" w:line="200" w:lineRule="exact"/>
        <w:rPr>
          <w:sz w:val="20"/>
          <w:szCs w:val="20"/>
          <w:color w:val="auto"/>
        </w:rPr>
      </w:pPr>
    </w:p>
    <w:p>
      <w:pPr>
        <w:spacing w:after="0" w:line="322" w:lineRule="exact"/>
        <w:rPr>
          <w:sz w:val="20"/>
          <w:szCs w:val="20"/>
          <w:color w:val="auto"/>
        </w:rPr>
      </w:pPr>
    </w:p>
    <w:p>
      <w:pPr>
        <w:ind w:left="35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iv</w:t>
      </w:r>
      <w:r>
        <w:rPr>
          <w:rFonts w:ascii="MS PGothic" w:cs="MS PGothic" w:eastAsia="MS PGothic" w:hAnsi="MS PGothic"/>
          <w:sz w:val="22"/>
          <w:szCs w:val="22"/>
          <w:color w:val="auto"/>
        </w:rPr>
        <w:t>‑</w:t>
      </w:r>
    </w:p>
    <w:p>
      <w:pPr>
        <w:sectPr>
          <w:pgSz w:w="11900" w:h="16838" w:orient="portrait"/>
          <w:cols w:equalWidth="0" w:num="1">
            <w:col w:w="9880"/>
          </w:cols>
          <w:pgMar w:left="920" w:top="820" w:right="10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75"/>
        </w:trPr>
        <w:tc>
          <w:tcPr>
            <w:tcW w:w="2120" w:type="dxa"/>
            <w:vAlign w:val="bottom"/>
          </w:tcPr>
          <w:p>
            <w:pPr>
              <w:spacing w:after="0"/>
              <w:rPr>
                <w:sz w:val="20"/>
                <w:szCs w:val="20"/>
                <w:color w:val="auto"/>
              </w:rPr>
            </w:pPr>
            <w:r>
              <w:rPr>
                <w:rFonts w:ascii="Arial" w:cs="Arial" w:eastAsia="Arial" w:hAnsi="Arial"/>
                <w:sz w:val="22"/>
                <w:szCs w:val="22"/>
                <w:color w:val="auto"/>
              </w:rPr>
              <w:t>SCHEDULE A</w:t>
            </w:r>
          </w:p>
        </w:tc>
        <w:tc>
          <w:tcPr>
            <w:tcW w:w="540" w:type="dxa"/>
            <w:vAlign w:val="bottom"/>
          </w:tcPr>
          <w:p>
            <w:pPr>
              <w:ind w:left="240"/>
              <w:spacing w:after="0"/>
              <w:rPr>
                <w:sz w:val="20"/>
                <w:szCs w:val="20"/>
                <w:color w:val="auto"/>
              </w:rPr>
            </w:pPr>
            <w:r>
              <w:rPr>
                <w:rFonts w:ascii="Arial" w:cs="Arial" w:eastAsia="Arial" w:hAnsi="Arial"/>
                <w:sz w:val="22"/>
                <w:szCs w:val="22"/>
                <w:color w:val="auto"/>
              </w:rPr>
              <w:t>—</w:t>
            </w:r>
          </w:p>
        </w:tc>
        <w:tc>
          <w:tcPr>
            <w:tcW w:w="7320" w:type="dxa"/>
            <w:vAlign w:val="bottom"/>
          </w:tcPr>
          <w:p>
            <w:pPr>
              <w:ind w:left="100"/>
              <w:spacing w:after="0"/>
              <w:rPr>
                <w:sz w:val="20"/>
                <w:szCs w:val="20"/>
                <w:color w:val="auto"/>
              </w:rPr>
            </w:pPr>
            <w:r>
              <w:rPr>
                <w:rFonts w:ascii="Arial" w:cs="Arial" w:eastAsia="Arial" w:hAnsi="Arial"/>
                <w:sz w:val="22"/>
                <w:szCs w:val="22"/>
                <w:color w:val="auto"/>
              </w:rPr>
              <w:t>DEFINED TERMS</w:t>
            </w:r>
          </w:p>
        </w:tc>
      </w:tr>
      <w:tr>
        <w:trPr>
          <w:trHeight w:val="590"/>
        </w:trPr>
        <w:tc>
          <w:tcPr>
            <w:tcW w:w="2120" w:type="dxa"/>
            <w:vAlign w:val="bottom"/>
          </w:tcPr>
          <w:p>
            <w:pPr>
              <w:spacing w:after="0"/>
              <w:rPr>
                <w:sz w:val="20"/>
                <w:szCs w:val="20"/>
                <w:color w:val="auto"/>
              </w:rPr>
            </w:pPr>
            <w:r>
              <w:rPr>
                <w:rFonts w:ascii="Arial" w:cs="Arial" w:eastAsia="Arial" w:hAnsi="Arial"/>
                <w:sz w:val="22"/>
                <w:szCs w:val="22"/>
                <w:color w:val="auto"/>
              </w:rPr>
              <w:t>SCHEDULE 1(a)</w:t>
            </w:r>
          </w:p>
        </w:tc>
        <w:tc>
          <w:tcPr>
            <w:tcW w:w="7860" w:type="dxa"/>
            <w:vAlign w:val="bottom"/>
            <w:gridSpan w:val="2"/>
          </w:tcPr>
          <w:p>
            <w:pPr>
              <w:ind w:left="240"/>
              <w:spacing w:after="0"/>
              <w:rPr>
                <w:sz w:val="20"/>
                <w:szCs w:val="20"/>
                <w:color w:val="auto"/>
              </w:rPr>
            </w:pPr>
            <w:r>
              <w:rPr>
                <w:rFonts w:ascii="Arial" w:cs="Arial" w:eastAsia="Arial" w:hAnsi="Arial"/>
                <w:sz w:val="22"/>
                <w:szCs w:val="22"/>
                <w:color w:val="auto"/>
                <w:w w:val="93"/>
              </w:rPr>
              <w:t>—  FORM OF 4.04% SENIOR GUARANTEED NOTE, SERIES A, DUE October 31,</w:t>
            </w:r>
          </w:p>
        </w:tc>
      </w:tr>
      <w:tr>
        <w:trPr>
          <w:trHeight w:val="275"/>
        </w:trPr>
        <w:tc>
          <w:tcPr>
            <w:tcW w:w="2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320" w:type="dxa"/>
            <w:vAlign w:val="bottom"/>
          </w:tcPr>
          <w:p>
            <w:pPr>
              <w:ind w:left="100"/>
              <w:spacing w:after="0"/>
              <w:rPr>
                <w:sz w:val="20"/>
                <w:szCs w:val="20"/>
                <w:color w:val="auto"/>
              </w:rPr>
            </w:pPr>
            <w:r>
              <w:rPr>
                <w:rFonts w:ascii="Arial" w:cs="Arial" w:eastAsia="Arial" w:hAnsi="Arial"/>
                <w:sz w:val="22"/>
                <w:szCs w:val="22"/>
                <w:color w:val="auto"/>
              </w:rPr>
              <w:t>2021</w:t>
            </w:r>
          </w:p>
        </w:tc>
      </w:tr>
      <w:tr>
        <w:trPr>
          <w:trHeight w:val="590"/>
        </w:trPr>
        <w:tc>
          <w:tcPr>
            <w:tcW w:w="2120" w:type="dxa"/>
            <w:vAlign w:val="bottom"/>
          </w:tcPr>
          <w:p>
            <w:pPr>
              <w:spacing w:after="0"/>
              <w:rPr>
                <w:sz w:val="20"/>
                <w:szCs w:val="20"/>
                <w:color w:val="auto"/>
              </w:rPr>
            </w:pPr>
            <w:r>
              <w:rPr>
                <w:rFonts w:ascii="Arial" w:cs="Arial" w:eastAsia="Arial" w:hAnsi="Arial"/>
                <w:sz w:val="22"/>
                <w:szCs w:val="22"/>
                <w:color w:val="auto"/>
              </w:rPr>
              <w:t>SCHEDULE 1(b)</w:t>
            </w:r>
          </w:p>
        </w:tc>
        <w:tc>
          <w:tcPr>
            <w:tcW w:w="7860" w:type="dxa"/>
            <w:vAlign w:val="bottom"/>
            <w:gridSpan w:val="2"/>
          </w:tcPr>
          <w:p>
            <w:pPr>
              <w:ind w:left="240"/>
              <w:spacing w:after="0"/>
              <w:rPr>
                <w:sz w:val="20"/>
                <w:szCs w:val="20"/>
                <w:color w:val="auto"/>
              </w:rPr>
            </w:pPr>
            <w:r>
              <w:rPr>
                <w:rFonts w:ascii="Arial" w:cs="Arial" w:eastAsia="Arial" w:hAnsi="Arial"/>
                <w:sz w:val="22"/>
                <w:szCs w:val="22"/>
                <w:color w:val="auto"/>
              </w:rPr>
              <w:t>—  FORM OF 4.45% SENIOR GUARANTEED NOTE, SERIES B, DUE</w:t>
            </w:r>
          </w:p>
        </w:tc>
      </w:tr>
      <w:tr>
        <w:trPr>
          <w:trHeight w:val="275"/>
        </w:trPr>
        <w:tc>
          <w:tcPr>
            <w:tcW w:w="2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320" w:type="dxa"/>
            <w:vAlign w:val="bottom"/>
          </w:tcPr>
          <w:p>
            <w:pPr>
              <w:ind w:left="100"/>
              <w:spacing w:after="0"/>
              <w:rPr>
                <w:sz w:val="20"/>
                <w:szCs w:val="20"/>
                <w:color w:val="auto"/>
              </w:rPr>
            </w:pPr>
            <w:r>
              <w:rPr>
                <w:rFonts w:ascii="Arial" w:cs="Arial" w:eastAsia="Arial" w:hAnsi="Arial"/>
                <w:sz w:val="22"/>
                <w:szCs w:val="22"/>
                <w:color w:val="auto"/>
              </w:rPr>
              <w:t>FEBRUARY 2, 2025</w:t>
            </w:r>
          </w:p>
        </w:tc>
      </w:tr>
      <w:tr>
        <w:trPr>
          <w:trHeight w:val="590"/>
        </w:trPr>
        <w:tc>
          <w:tcPr>
            <w:tcW w:w="2120" w:type="dxa"/>
            <w:vAlign w:val="bottom"/>
          </w:tcPr>
          <w:p>
            <w:pPr>
              <w:spacing w:after="0"/>
              <w:rPr>
                <w:sz w:val="20"/>
                <w:szCs w:val="20"/>
                <w:color w:val="auto"/>
              </w:rPr>
            </w:pPr>
            <w:r>
              <w:rPr>
                <w:rFonts w:ascii="Arial" w:cs="Arial" w:eastAsia="Arial" w:hAnsi="Arial"/>
                <w:sz w:val="22"/>
                <w:szCs w:val="22"/>
                <w:color w:val="auto"/>
              </w:rPr>
              <w:t>SCHEDULE 1(c)</w:t>
            </w:r>
          </w:p>
        </w:tc>
        <w:tc>
          <w:tcPr>
            <w:tcW w:w="7860" w:type="dxa"/>
            <w:vAlign w:val="bottom"/>
            <w:gridSpan w:val="2"/>
          </w:tcPr>
          <w:p>
            <w:pPr>
              <w:ind w:left="240"/>
              <w:spacing w:after="0"/>
              <w:rPr>
                <w:sz w:val="20"/>
                <w:szCs w:val="20"/>
                <w:color w:val="auto"/>
              </w:rPr>
            </w:pPr>
            <w:r>
              <w:rPr>
                <w:rFonts w:ascii="Arial" w:cs="Arial" w:eastAsia="Arial" w:hAnsi="Arial"/>
                <w:sz w:val="22"/>
                <w:szCs w:val="22"/>
                <w:color w:val="auto"/>
                <w:w w:val="96"/>
              </w:rPr>
              <w:t>—  FORM OF 4.50% SENIOR GUARANTEED NOTE, SERIES C, DUE APRIL 1,</w:t>
            </w:r>
          </w:p>
        </w:tc>
      </w:tr>
      <w:tr>
        <w:trPr>
          <w:trHeight w:val="275"/>
        </w:trPr>
        <w:tc>
          <w:tcPr>
            <w:tcW w:w="2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320" w:type="dxa"/>
            <w:vAlign w:val="bottom"/>
          </w:tcPr>
          <w:p>
            <w:pPr>
              <w:ind w:left="100"/>
              <w:spacing w:after="0"/>
              <w:rPr>
                <w:sz w:val="20"/>
                <w:szCs w:val="20"/>
                <w:color w:val="auto"/>
              </w:rPr>
            </w:pPr>
            <w:r>
              <w:rPr>
                <w:rFonts w:ascii="Arial" w:cs="Arial" w:eastAsia="Arial" w:hAnsi="Arial"/>
                <w:sz w:val="22"/>
                <w:szCs w:val="22"/>
                <w:color w:val="auto"/>
              </w:rPr>
              <w:t>2025</w:t>
            </w:r>
          </w:p>
        </w:tc>
      </w:tr>
      <w:tr>
        <w:trPr>
          <w:trHeight w:val="621"/>
        </w:trPr>
        <w:tc>
          <w:tcPr>
            <w:tcW w:w="2120" w:type="dxa"/>
            <w:vAlign w:val="bottom"/>
          </w:tcPr>
          <w:p>
            <w:pPr>
              <w:spacing w:after="0"/>
              <w:rPr>
                <w:sz w:val="20"/>
                <w:szCs w:val="20"/>
                <w:color w:val="auto"/>
              </w:rPr>
            </w:pPr>
            <w:r>
              <w:rPr>
                <w:rFonts w:ascii="Arial" w:cs="Arial" w:eastAsia="Arial" w:hAnsi="Arial"/>
                <w:sz w:val="22"/>
                <w:szCs w:val="22"/>
                <w:color w:val="auto"/>
              </w:rPr>
              <w:t>SCHEDULE 4.4(a)</w:t>
            </w:r>
          </w:p>
        </w:tc>
        <w:tc>
          <w:tcPr>
            <w:tcW w:w="7860" w:type="dxa"/>
            <w:vAlign w:val="bottom"/>
            <w:gridSpan w:val="2"/>
          </w:tcPr>
          <w:p>
            <w:pPr>
              <w:ind w:left="240"/>
              <w:spacing w:after="0"/>
              <w:rPr>
                <w:sz w:val="20"/>
                <w:szCs w:val="20"/>
                <w:color w:val="auto"/>
              </w:rPr>
            </w:pPr>
            <w:r>
              <w:rPr>
                <w:rFonts w:ascii="Arial" w:cs="Arial" w:eastAsia="Arial" w:hAnsi="Arial"/>
                <w:sz w:val="22"/>
                <w:szCs w:val="22"/>
                <w:color w:val="auto"/>
              </w:rPr>
              <w:t>—  FORM OF OPINION OF SPECIAL COUNSEL FOR THE NOTE PARTIES</w:t>
            </w:r>
          </w:p>
        </w:tc>
      </w:tr>
      <w:tr>
        <w:trPr>
          <w:trHeight w:val="621"/>
        </w:trPr>
        <w:tc>
          <w:tcPr>
            <w:tcW w:w="2120" w:type="dxa"/>
            <w:vAlign w:val="bottom"/>
          </w:tcPr>
          <w:p>
            <w:pPr>
              <w:spacing w:after="0"/>
              <w:rPr>
                <w:sz w:val="20"/>
                <w:szCs w:val="20"/>
                <w:color w:val="auto"/>
              </w:rPr>
            </w:pPr>
            <w:r>
              <w:rPr>
                <w:rFonts w:ascii="Arial" w:cs="Arial" w:eastAsia="Arial" w:hAnsi="Arial"/>
                <w:sz w:val="22"/>
                <w:szCs w:val="22"/>
                <w:color w:val="auto"/>
              </w:rPr>
              <w:t>SCHEDULE 4.4(b)</w:t>
            </w:r>
          </w:p>
        </w:tc>
        <w:tc>
          <w:tcPr>
            <w:tcW w:w="7860" w:type="dxa"/>
            <w:vAlign w:val="bottom"/>
            <w:gridSpan w:val="2"/>
          </w:tcPr>
          <w:p>
            <w:pPr>
              <w:ind w:left="240"/>
              <w:spacing w:after="0"/>
              <w:rPr>
                <w:sz w:val="20"/>
                <w:szCs w:val="20"/>
                <w:color w:val="auto"/>
              </w:rPr>
            </w:pPr>
            <w:r>
              <w:rPr>
                <w:rFonts w:ascii="Arial" w:cs="Arial" w:eastAsia="Arial" w:hAnsi="Arial"/>
                <w:sz w:val="22"/>
                <w:szCs w:val="22"/>
                <w:color w:val="auto"/>
              </w:rPr>
              <w:t>—  FORM OF OPINION OF SPECIAL COUNSEL FOR THE PURCHASERS</w:t>
            </w:r>
          </w:p>
        </w:tc>
      </w:tr>
      <w:tr>
        <w:trPr>
          <w:trHeight w:val="621"/>
        </w:trPr>
        <w:tc>
          <w:tcPr>
            <w:tcW w:w="2120" w:type="dxa"/>
            <w:vAlign w:val="bottom"/>
          </w:tcPr>
          <w:p>
            <w:pPr>
              <w:spacing w:after="0"/>
              <w:rPr>
                <w:sz w:val="20"/>
                <w:szCs w:val="20"/>
                <w:color w:val="auto"/>
              </w:rPr>
            </w:pPr>
            <w:r>
              <w:rPr>
                <w:rFonts w:ascii="Arial" w:cs="Arial" w:eastAsia="Arial" w:hAnsi="Arial"/>
                <w:sz w:val="22"/>
                <w:szCs w:val="22"/>
                <w:color w:val="auto"/>
              </w:rPr>
              <w:t>SCHEDULE 5.3</w:t>
            </w:r>
          </w:p>
        </w:tc>
        <w:tc>
          <w:tcPr>
            <w:tcW w:w="540" w:type="dxa"/>
            <w:vAlign w:val="bottom"/>
          </w:tcPr>
          <w:p>
            <w:pPr>
              <w:ind w:left="240"/>
              <w:spacing w:after="0"/>
              <w:rPr>
                <w:sz w:val="20"/>
                <w:szCs w:val="20"/>
                <w:color w:val="auto"/>
              </w:rPr>
            </w:pPr>
            <w:r>
              <w:rPr>
                <w:rFonts w:ascii="Arial" w:cs="Arial" w:eastAsia="Arial" w:hAnsi="Arial"/>
                <w:sz w:val="22"/>
                <w:szCs w:val="22"/>
                <w:color w:val="auto"/>
              </w:rPr>
              <w:t>—</w:t>
            </w:r>
          </w:p>
        </w:tc>
        <w:tc>
          <w:tcPr>
            <w:tcW w:w="7320" w:type="dxa"/>
            <w:vAlign w:val="bottom"/>
          </w:tcPr>
          <w:p>
            <w:pPr>
              <w:ind w:left="100"/>
              <w:spacing w:after="0"/>
              <w:rPr>
                <w:sz w:val="20"/>
                <w:szCs w:val="20"/>
                <w:color w:val="auto"/>
              </w:rPr>
            </w:pPr>
            <w:r>
              <w:rPr>
                <w:rFonts w:ascii="Arial" w:cs="Arial" w:eastAsia="Arial" w:hAnsi="Arial"/>
                <w:sz w:val="22"/>
                <w:szCs w:val="22"/>
                <w:color w:val="auto"/>
              </w:rPr>
              <w:t>DISCLOSURE MATERIALS</w:t>
            </w:r>
          </w:p>
        </w:tc>
      </w:tr>
      <w:tr>
        <w:trPr>
          <w:trHeight w:val="590"/>
        </w:trPr>
        <w:tc>
          <w:tcPr>
            <w:tcW w:w="2120" w:type="dxa"/>
            <w:vAlign w:val="bottom"/>
          </w:tcPr>
          <w:p>
            <w:pPr>
              <w:spacing w:after="0"/>
              <w:rPr>
                <w:sz w:val="20"/>
                <w:szCs w:val="20"/>
                <w:color w:val="auto"/>
              </w:rPr>
            </w:pPr>
            <w:r>
              <w:rPr>
                <w:rFonts w:ascii="Arial" w:cs="Arial" w:eastAsia="Arial" w:hAnsi="Arial"/>
                <w:sz w:val="22"/>
                <w:szCs w:val="22"/>
                <w:color w:val="auto"/>
              </w:rPr>
              <w:t>SCHEDULE 5.4</w:t>
            </w:r>
          </w:p>
        </w:tc>
        <w:tc>
          <w:tcPr>
            <w:tcW w:w="7860" w:type="dxa"/>
            <w:vAlign w:val="bottom"/>
            <w:gridSpan w:val="2"/>
          </w:tcPr>
          <w:p>
            <w:pPr>
              <w:ind w:left="240"/>
              <w:spacing w:after="0"/>
              <w:rPr>
                <w:sz w:val="20"/>
                <w:szCs w:val="20"/>
                <w:color w:val="auto"/>
              </w:rPr>
            </w:pPr>
            <w:r>
              <w:rPr>
                <w:rFonts w:ascii="Arial" w:cs="Arial" w:eastAsia="Arial" w:hAnsi="Arial"/>
                <w:sz w:val="22"/>
                <w:szCs w:val="22"/>
                <w:color w:val="auto"/>
              </w:rPr>
              <w:t>—  SUBSIDIARIES OF THE NOTE PARTIES AND OWNERSHIP OF</w:t>
            </w:r>
          </w:p>
        </w:tc>
      </w:tr>
      <w:tr>
        <w:trPr>
          <w:trHeight w:val="275"/>
        </w:trPr>
        <w:tc>
          <w:tcPr>
            <w:tcW w:w="2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320" w:type="dxa"/>
            <w:vAlign w:val="bottom"/>
          </w:tcPr>
          <w:p>
            <w:pPr>
              <w:ind w:left="100"/>
              <w:spacing w:after="0"/>
              <w:rPr>
                <w:sz w:val="20"/>
                <w:szCs w:val="20"/>
                <w:color w:val="auto"/>
              </w:rPr>
            </w:pPr>
            <w:r>
              <w:rPr>
                <w:rFonts w:ascii="Arial" w:cs="Arial" w:eastAsia="Arial" w:hAnsi="Arial"/>
                <w:sz w:val="22"/>
                <w:szCs w:val="22"/>
                <w:color w:val="auto"/>
              </w:rPr>
              <w:t>SUBSIDIARY STOCK</w:t>
            </w:r>
          </w:p>
        </w:tc>
      </w:tr>
      <w:tr>
        <w:trPr>
          <w:trHeight w:val="837"/>
        </w:trPr>
        <w:tc>
          <w:tcPr>
            <w:tcW w:w="2120" w:type="dxa"/>
            <w:vAlign w:val="bottom"/>
          </w:tcPr>
          <w:p>
            <w:pPr>
              <w:spacing w:after="0"/>
              <w:rPr>
                <w:sz w:val="20"/>
                <w:szCs w:val="20"/>
                <w:color w:val="auto"/>
              </w:rPr>
            </w:pPr>
            <w:r>
              <w:rPr>
                <w:rFonts w:ascii="Arial" w:cs="Arial" w:eastAsia="Arial" w:hAnsi="Arial"/>
                <w:sz w:val="22"/>
                <w:szCs w:val="22"/>
                <w:color w:val="auto"/>
              </w:rPr>
              <w:t>SCHEDULE 5.5</w:t>
            </w:r>
          </w:p>
        </w:tc>
        <w:tc>
          <w:tcPr>
            <w:tcW w:w="540" w:type="dxa"/>
            <w:vAlign w:val="bottom"/>
          </w:tcPr>
          <w:p>
            <w:pPr>
              <w:ind w:left="240"/>
              <w:spacing w:after="0"/>
              <w:rPr>
                <w:sz w:val="20"/>
                <w:szCs w:val="20"/>
                <w:color w:val="auto"/>
              </w:rPr>
            </w:pPr>
            <w:r>
              <w:rPr>
                <w:rFonts w:ascii="Arial" w:cs="Arial" w:eastAsia="Arial" w:hAnsi="Arial"/>
                <w:sz w:val="22"/>
                <w:szCs w:val="22"/>
                <w:color w:val="auto"/>
              </w:rPr>
              <w:t>—</w:t>
            </w:r>
          </w:p>
        </w:tc>
        <w:tc>
          <w:tcPr>
            <w:tcW w:w="7320" w:type="dxa"/>
            <w:vAlign w:val="bottom"/>
          </w:tcPr>
          <w:p>
            <w:pPr>
              <w:ind w:left="100"/>
              <w:spacing w:after="0"/>
              <w:rPr>
                <w:sz w:val="20"/>
                <w:szCs w:val="20"/>
                <w:color w:val="auto"/>
              </w:rPr>
            </w:pPr>
            <w:r>
              <w:rPr>
                <w:rFonts w:ascii="Arial" w:cs="Arial" w:eastAsia="Arial" w:hAnsi="Arial"/>
                <w:sz w:val="22"/>
                <w:szCs w:val="22"/>
                <w:color w:val="auto"/>
              </w:rPr>
              <w:t>FINANCIAL STATEMENTS</w:t>
            </w:r>
          </w:p>
        </w:tc>
      </w:tr>
      <w:tr>
        <w:trPr>
          <w:trHeight w:val="621"/>
        </w:trPr>
        <w:tc>
          <w:tcPr>
            <w:tcW w:w="2120" w:type="dxa"/>
            <w:vAlign w:val="bottom"/>
          </w:tcPr>
          <w:p>
            <w:pPr>
              <w:spacing w:after="0"/>
              <w:rPr>
                <w:sz w:val="20"/>
                <w:szCs w:val="20"/>
                <w:color w:val="auto"/>
              </w:rPr>
            </w:pPr>
            <w:r>
              <w:rPr>
                <w:rFonts w:ascii="Arial" w:cs="Arial" w:eastAsia="Arial" w:hAnsi="Arial"/>
                <w:sz w:val="22"/>
                <w:szCs w:val="22"/>
                <w:color w:val="auto"/>
              </w:rPr>
              <w:t>SCHEDULE 5.15</w:t>
            </w:r>
          </w:p>
        </w:tc>
        <w:tc>
          <w:tcPr>
            <w:tcW w:w="540" w:type="dxa"/>
            <w:vAlign w:val="bottom"/>
          </w:tcPr>
          <w:p>
            <w:pPr>
              <w:ind w:left="240"/>
              <w:spacing w:after="0"/>
              <w:rPr>
                <w:sz w:val="20"/>
                <w:szCs w:val="20"/>
                <w:color w:val="auto"/>
              </w:rPr>
            </w:pPr>
            <w:r>
              <w:rPr>
                <w:rFonts w:ascii="Arial" w:cs="Arial" w:eastAsia="Arial" w:hAnsi="Arial"/>
                <w:sz w:val="22"/>
                <w:szCs w:val="22"/>
                <w:color w:val="auto"/>
              </w:rPr>
              <w:t>—</w:t>
            </w:r>
          </w:p>
        </w:tc>
        <w:tc>
          <w:tcPr>
            <w:tcW w:w="7320" w:type="dxa"/>
            <w:vAlign w:val="bottom"/>
          </w:tcPr>
          <w:p>
            <w:pPr>
              <w:ind w:left="100"/>
              <w:spacing w:after="0"/>
              <w:rPr>
                <w:sz w:val="20"/>
                <w:szCs w:val="20"/>
                <w:color w:val="auto"/>
              </w:rPr>
            </w:pPr>
            <w:r>
              <w:rPr>
                <w:rFonts w:ascii="Arial" w:cs="Arial" w:eastAsia="Arial" w:hAnsi="Arial"/>
                <w:sz w:val="22"/>
                <w:szCs w:val="22"/>
                <w:color w:val="auto"/>
              </w:rPr>
              <w:t>EXISTING INDEBTEDNESS</w:t>
            </w:r>
          </w:p>
        </w:tc>
      </w:tr>
      <w:tr>
        <w:trPr>
          <w:trHeight w:val="621"/>
        </w:trPr>
        <w:tc>
          <w:tcPr>
            <w:tcW w:w="2120" w:type="dxa"/>
            <w:vAlign w:val="bottom"/>
          </w:tcPr>
          <w:p>
            <w:pPr>
              <w:spacing w:after="0"/>
              <w:rPr>
                <w:sz w:val="20"/>
                <w:szCs w:val="20"/>
                <w:color w:val="auto"/>
              </w:rPr>
            </w:pPr>
            <w:r>
              <w:rPr>
                <w:rFonts w:ascii="Arial" w:cs="Arial" w:eastAsia="Arial" w:hAnsi="Arial"/>
                <w:sz w:val="22"/>
                <w:szCs w:val="22"/>
                <w:color w:val="auto"/>
              </w:rPr>
              <w:t>SCHEDULE 10.4(m)</w:t>
            </w:r>
          </w:p>
        </w:tc>
        <w:tc>
          <w:tcPr>
            <w:tcW w:w="540" w:type="dxa"/>
            <w:vAlign w:val="bottom"/>
          </w:tcPr>
          <w:p>
            <w:pPr>
              <w:ind w:left="240"/>
              <w:spacing w:after="0"/>
              <w:rPr>
                <w:sz w:val="20"/>
                <w:szCs w:val="20"/>
                <w:color w:val="auto"/>
              </w:rPr>
            </w:pPr>
            <w:r>
              <w:rPr>
                <w:rFonts w:ascii="Arial" w:cs="Arial" w:eastAsia="Arial" w:hAnsi="Arial"/>
                <w:sz w:val="22"/>
                <w:szCs w:val="22"/>
                <w:color w:val="auto"/>
              </w:rPr>
              <w:t>—</w:t>
            </w:r>
          </w:p>
        </w:tc>
        <w:tc>
          <w:tcPr>
            <w:tcW w:w="7320" w:type="dxa"/>
            <w:vAlign w:val="bottom"/>
          </w:tcPr>
          <w:p>
            <w:pPr>
              <w:ind w:left="100"/>
              <w:spacing w:after="0"/>
              <w:rPr>
                <w:sz w:val="20"/>
                <w:szCs w:val="20"/>
                <w:color w:val="auto"/>
              </w:rPr>
            </w:pPr>
            <w:r>
              <w:rPr>
                <w:rFonts w:ascii="Arial" w:cs="Arial" w:eastAsia="Arial" w:hAnsi="Arial"/>
                <w:sz w:val="22"/>
                <w:szCs w:val="22"/>
                <w:color w:val="auto"/>
              </w:rPr>
              <w:t>EXISTING LIENS</w:t>
            </w:r>
          </w:p>
        </w:tc>
      </w:tr>
      <w:tr>
        <w:trPr>
          <w:trHeight w:val="621"/>
        </w:trPr>
        <w:tc>
          <w:tcPr>
            <w:tcW w:w="2120" w:type="dxa"/>
            <w:vAlign w:val="bottom"/>
          </w:tcPr>
          <w:p>
            <w:pPr>
              <w:spacing w:after="0"/>
              <w:rPr>
                <w:sz w:val="20"/>
                <w:szCs w:val="20"/>
                <w:color w:val="auto"/>
              </w:rPr>
            </w:pPr>
            <w:r>
              <w:rPr>
                <w:rFonts w:ascii="Arial" w:cs="Arial" w:eastAsia="Arial" w:hAnsi="Arial"/>
                <w:sz w:val="22"/>
                <w:szCs w:val="22"/>
                <w:color w:val="auto"/>
              </w:rPr>
              <w:t>SCHEDULE 10.6(j)</w:t>
            </w:r>
          </w:p>
        </w:tc>
        <w:tc>
          <w:tcPr>
            <w:tcW w:w="540" w:type="dxa"/>
            <w:vAlign w:val="bottom"/>
          </w:tcPr>
          <w:p>
            <w:pPr>
              <w:ind w:left="240"/>
              <w:spacing w:after="0"/>
              <w:rPr>
                <w:sz w:val="20"/>
                <w:szCs w:val="20"/>
                <w:color w:val="auto"/>
              </w:rPr>
            </w:pPr>
            <w:r>
              <w:rPr>
                <w:rFonts w:ascii="Arial" w:cs="Arial" w:eastAsia="Arial" w:hAnsi="Arial"/>
                <w:sz w:val="22"/>
                <w:szCs w:val="22"/>
                <w:color w:val="auto"/>
              </w:rPr>
              <w:t>—</w:t>
            </w:r>
          </w:p>
        </w:tc>
        <w:tc>
          <w:tcPr>
            <w:tcW w:w="7320" w:type="dxa"/>
            <w:vAlign w:val="bottom"/>
          </w:tcPr>
          <w:p>
            <w:pPr>
              <w:ind w:left="100"/>
              <w:spacing w:after="0"/>
              <w:rPr>
                <w:sz w:val="20"/>
                <w:szCs w:val="20"/>
                <w:color w:val="auto"/>
              </w:rPr>
            </w:pPr>
            <w:r>
              <w:rPr>
                <w:rFonts w:ascii="Arial" w:cs="Arial" w:eastAsia="Arial" w:hAnsi="Arial"/>
                <w:sz w:val="22"/>
                <w:szCs w:val="22"/>
                <w:color w:val="auto"/>
              </w:rPr>
              <w:t>INVESTMENTS</w:t>
            </w:r>
          </w:p>
        </w:tc>
      </w:tr>
      <w:tr>
        <w:trPr>
          <w:trHeight w:val="621"/>
        </w:trPr>
        <w:tc>
          <w:tcPr>
            <w:tcW w:w="2120" w:type="dxa"/>
            <w:vAlign w:val="bottom"/>
          </w:tcPr>
          <w:p>
            <w:pPr>
              <w:spacing w:after="0"/>
              <w:rPr>
                <w:sz w:val="20"/>
                <w:szCs w:val="20"/>
                <w:color w:val="auto"/>
              </w:rPr>
            </w:pPr>
            <w:r>
              <w:rPr>
                <w:rFonts w:ascii="Arial" w:cs="Arial" w:eastAsia="Arial" w:hAnsi="Arial"/>
                <w:sz w:val="22"/>
                <w:szCs w:val="22"/>
                <w:color w:val="auto"/>
              </w:rPr>
              <w:t>SCHEDULE B</w:t>
            </w:r>
          </w:p>
        </w:tc>
        <w:tc>
          <w:tcPr>
            <w:tcW w:w="7860" w:type="dxa"/>
            <w:vAlign w:val="bottom"/>
            <w:gridSpan w:val="2"/>
          </w:tcPr>
          <w:p>
            <w:pPr>
              <w:ind w:left="240"/>
              <w:spacing w:after="0"/>
              <w:rPr>
                <w:sz w:val="20"/>
                <w:szCs w:val="20"/>
                <w:color w:val="auto"/>
              </w:rPr>
            </w:pPr>
            <w:r>
              <w:rPr>
                <w:rFonts w:ascii="Arial" w:cs="Arial" w:eastAsia="Arial" w:hAnsi="Arial"/>
                <w:sz w:val="22"/>
                <w:szCs w:val="22"/>
                <w:color w:val="auto"/>
              </w:rPr>
              <w:t>—  INFORMATION RELATING TO PURCHASERS</w:t>
            </w:r>
          </w:p>
        </w:tc>
      </w:tr>
      <w:tr>
        <w:trPr>
          <w:trHeight w:val="621"/>
        </w:trPr>
        <w:tc>
          <w:tcPr>
            <w:tcW w:w="2120" w:type="dxa"/>
            <w:vAlign w:val="bottom"/>
          </w:tcPr>
          <w:p>
            <w:pPr>
              <w:spacing w:after="0"/>
              <w:rPr>
                <w:sz w:val="20"/>
                <w:szCs w:val="20"/>
                <w:color w:val="auto"/>
              </w:rPr>
            </w:pPr>
            <w:r>
              <w:rPr>
                <w:rFonts w:ascii="Arial" w:cs="Arial" w:eastAsia="Arial" w:hAnsi="Arial"/>
                <w:sz w:val="22"/>
                <w:szCs w:val="22"/>
                <w:color w:val="auto"/>
              </w:rPr>
              <w:t>SCHEDULE C</w:t>
            </w:r>
          </w:p>
        </w:tc>
        <w:tc>
          <w:tcPr>
            <w:tcW w:w="7860" w:type="dxa"/>
            <w:vAlign w:val="bottom"/>
            <w:gridSpan w:val="2"/>
          </w:tcPr>
          <w:p>
            <w:pPr>
              <w:ind w:left="240"/>
              <w:spacing w:after="0"/>
              <w:rPr>
                <w:sz w:val="20"/>
                <w:szCs w:val="20"/>
                <w:color w:val="auto"/>
              </w:rPr>
            </w:pPr>
            <w:r>
              <w:rPr>
                <w:rFonts w:ascii="Arial" w:cs="Arial" w:eastAsia="Arial" w:hAnsi="Arial"/>
                <w:sz w:val="22"/>
                <w:szCs w:val="22"/>
                <w:color w:val="auto"/>
              </w:rPr>
              <w:t>—  FORM OF AFFILIATE GUARANTY</w:t>
            </w:r>
          </w:p>
        </w:tc>
      </w:tr>
      <w:tr>
        <w:trPr>
          <w:trHeight w:val="621"/>
        </w:trPr>
        <w:tc>
          <w:tcPr>
            <w:tcW w:w="2120" w:type="dxa"/>
            <w:vAlign w:val="bottom"/>
          </w:tcPr>
          <w:p>
            <w:pPr>
              <w:spacing w:after="0"/>
              <w:rPr>
                <w:sz w:val="20"/>
                <w:szCs w:val="20"/>
                <w:color w:val="auto"/>
              </w:rPr>
            </w:pPr>
            <w:r>
              <w:rPr>
                <w:rFonts w:ascii="Arial" w:cs="Arial" w:eastAsia="Arial" w:hAnsi="Arial"/>
                <w:sz w:val="22"/>
                <w:szCs w:val="22"/>
                <w:color w:val="auto"/>
              </w:rPr>
              <w:t>SCHEDULE D</w:t>
            </w:r>
          </w:p>
        </w:tc>
        <w:tc>
          <w:tcPr>
            <w:tcW w:w="7860" w:type="dxa"/>
            <w:vAlign w:val="bottom"/>
            <w:gridSpan w:val="2"/>
          </w:tcPr>
          <w:p>
            <w:pPr>
              <w:ind w:left="240"/>
              <w:spacing w:after="0"/>
              <w:rPr>
                <w:sz w:val="20"/>
                <w:szCs w:val="20"/>
                <w:color w:val="auto"/>
              </w:rPr>
            </w:pPr>
            <w:r>
              <w:rPr>
                <w:rFonts w:ascii="Arial" w:cs="Arial" w:eastAsia="Arial" w:hAnsi="Arial"/>
                <w:sz w:val="22"/>
                <w:szCs w:val="22"/>
                <w:color w:val="auto"/>
              </w:rPr>
              <w:t>—  FORM OF COMPLIANCE CERTIFICATE</w:t>
            </w:r>
          </w:p>
        </w:tc>
      </w:tr>
      <w:tr>
        <w:trPr>
          <w:trHeight w:val="621"/>
        </w:trPr>
        <w:tc>
          <w:tcPr>
            <w:tcW w:w="2120" w:type="dxa"/>
            <w:vAlign w:val="bottom"/>
          </w:tcPr>
          <w:p>
            <w:pPr>
              <w:spacing w:after="0"/>
              <w:rPr>
                <w:sz w:val="20"/>
                <w:szCs w:val="20"/>
                <w:color w:val="auto"/>
              </w:rPr>
            </w:pPr>
            <w:r>
              <w:rPr>
                <w:rFonts w:ascii="Arial" w:cs="Arial" w:eastAsia="Arial" w:hAnsi="Arial"/>
                <w:sz w:val="22"/>
                <w:szCs w:val="22"/>
                <w:color w:val="auto"/>
              </w:rPr>
              <w:t>SCHEDULE E</w:t>
            </w:r>
          </w:p>
        </w:tc>
        <w:tc>
          <w:tcPr>
            <w:tcW w:w="7860" w:type="dxa"/>
            <w:vAlign w:val="bottom"/>
            <w:gridSpan w:val="2"/>
          </w:tcPr>
          <w:p>
            <w:pPr>
              <w:ind w:left="240"/>
              <w:spacing w:after="0"/>
              <w:rPr>
                <w:sz w:val="20"/>
                <w:szCs w:val="20"/>
                <w:color w:val="auto"/>
              </w:rPr>
            </w:pPr>
            <w:r>
              <w:rPr>
                <w:rFonts w:ascii="Arial" w:cs="Arial" w:eastAsia="Arial" w:hAnsi="Arial"/>
                <w:sz w:val="22"/>
                <w:szCs w:val="22"/>
                <w:color w:val="auto"/>
              </w:rPr>
              <w:t>—  EXCEPTIONS TO RECOURSE LIABILITY</w:t>
            </w:r>
          </w:p>
        </w:tc>
      </w:tr>
      <w:tr>
        <w:trPr>
          <w:trHeight w:val="621"/>
        </w:trPr>
        <w:tc>
          <w:tcPr>
            <w:tcW w:w="2120" w:type="dxa"/>
            <w:vAlign w:val="bottom"/>
          </w:tcPr>
          <w:p>
            <w:pPr>
              <w:spacing w:after="0"/>
              <w:rPr>
                <w:sz w:val="20"/>
                <w:szCs w:val="20"/>
                <w:color w:val="auto"/>
              </w:rPr>
            </w:pPr>
            <w:r>
              <w:rPr>
                <w:rFonts w:ascii="Arial" w:cs="Arial" w:eastAsia="Arial" w:hAnsi="Arial"/>
                <w:sz w:val="22"/>
                <w:szCs w:val="22"/>
                <w:color w:val="auto"/>
              </w:rPr>
              <w:t>SCHEDULE F</w:t>
            </w:r>
          </w:p>
        </w:tc>
        <w:tc>
          <w:tcPr>
            <w:tcW w:w="7860" w:type="dxa"/>
            <w:vAlign w:val="bottom"/>
            <w:gridSpan w:val="2"/>
          </w:tcPr>
          <w:p>
            <w:pPr>
              <w:ind w:left="240"/>
              <w:spacing w:after="0"/>
              <w:rPr>
                <w:sz w:val="20"/>
                <w:szCs w:val="20"/>
                <w:color w:val="auto"/>
              </w:rPr>
            </w:pPr>
            <w:r>
              <w:rPr>
                <w:rFonts w:ascii="Arial" w:cs="Arial" w:eastAsia="Arial" w:hAnsi="Arial"/>
                <w:sz w:val="22"/>
                <w:szCs w:val="22"/>
                <w:color w:val="auto"/>
              </w:rPr>
              <w:t>—  INITIAL UNENCUMBERED ELIGIBLE PROPERTIES</w:t>
            </w:r>
          </w:p>
        </w:tc>
      </w:tr>
      <w:tr>
        <w:trPr>
          <w:trHeight w:val="540"/>
        </w:trPr>
        <w:tc>
          <w:tcPr>
            <w:tcW w:w="2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20" w:type="dxa"/>
            <w:vAlign w:val="bottom"/>
          </w:tcPr>
          <w:p>
            <w:pPr>
              <w:ind w:left="88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v</w:t>
            </w:r>
            <w:r>
              <w:rPr>
                <w:rFonts w:ascii="MS PGothic" w:cs="MS PGothic" w:eastAsia="MS PGothic" w:hAnsi="MS PGothic"/>
                <w:sz w:val="22"/>
                <w:szCs w:val="22"/>
                <w:color w:val="auto"/>
              </w:rPr>
              <w:t>‑</w:t>
            </w:r>
          </w:p>
        </w:tc>
      </w:tr>
    </w:tbl>
    <w:p>
      <w:pPr>
        <w:sectPr>
          <w:pgSz w:w="11900" w:h="16838" w:orient="portrait"/>
          <w:cols w:equalWidth="0" w:num="1">
            <w:col w:w="9980"/>
          </w:cols>
          <w:pgMar w:left="920" w:top="820" w:right="99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22"/>
          <w:szCs w:val="22"/>
          <w:b w:val="1"/>
          <w:bCs w:val="1"/>
          <w:color w:val="auto"/>
        </w:rPr>
        <w:t>AMERICAN ASSETS TRUST, L.P.</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11455 EL CAMINO REAL, SUITE 200</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SAN DIEGO, CALIFORNIA 92130</w:t>
      </w:r>
    </w:p>
    <w:p>
      <w:pPr>
        <w:spacing w:after="0" w:line="341" w:lineRule="exact"/>
        <w:rPr>
          <w:sz w:val="20"/>
          <w:szCs w:val="20"/>
          <w:color w:val="auto"/>
        </w:rPr>
      </w:pPr>
    </w:p>
    <w:p>
      <w:pPr>
        <w:jc w:val="center"/>
        <w:ind w:right="40"/>
        <w:spacing w:after="0" w:line="281" w:lineRule="auto"/>
        <w:rPr>
          <w:sz w:val="20"/>
          <w:szCs w:val="20"/>
          <w:color w:val="auto"/>
        </w:rPr>
      </w:pPr>
      <w:r>
        <w:rPr>
          <w:rFonts w:ascii="Arial" w:cs="Arial" w:eastAsia="Arial" w:hAnsi="Arial"/>
          <w:sz w:val="22"/>
          <w:szCs w:val="22"/>
          <w:b w:val="1"/>
          <w:bCs w:val="1"/>
          <w:color w:val="auto"/>
        </w:rPr>
        <w:t>4.04% SENIOR GUARANTEED NOTES, SERIES A, DUE OCTOBER 31, 2021 4.45% SENIOR GUARANTEED NOTES, SERIES B, DUE FEBRUARY 2, 2025 AND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4.50% SENIOR GUARANTEED NOTES, SERIES C, DUE APRIL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31, 2014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TO EACH OF THE PURCHASERS LISTED IN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SCHEDULE B HERETO: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8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AMERICAN ASSETS TRUST, L.P., a Maryland limited partnership (together with any successor thereto that becomes a party hereto pursuant to Section 10.7,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and American Assets Trust, Inc. a Maryland corporation (the </w:t>
      </w:r>
      <w:r>
        <w:rPr>
          <w:rFonts w:ascii="Arial" w:cs="Arial" w:eastAsia="Arial" w:hAnsi="Arial"/>
          <w:sz w:val="22"/>
          <w:szCs w:val="22"/>
          <w:b w:val="1"/>
          <w:bCs w:val="1"/>
          <w:color w:val="auto"/>
        </w:rPr>
        <w:t>“REIT”</w:t>
      </w:r>
      <w:r>
        <w:rPr>
          <w:rFonts w:ascii="Arial" w:cs="Arial" w:eastAsia="Arial" w:hAnsi="Arial"/>
          <w:sz w:val="22"/>
          <w:szCs w:val="22"/>
          <w:color w:val="auto"/>
        </w:rPr>
        <w:t>), jointly and severally agree with each of the Purchasers as follows:</w:t>
      </w:r>
    </w:p>
    <w:p>
      <w:pPr>
        <w:spacing w:after="0" w:line="246" w:lineRule="exact"/>
        <w:rPr>
          <w:sz w:val="20"/>
          <w:szCs w:val="20"/>
          <w:color w:val="auto"/>
        </w:rPr>
      </w:pPr>
    </w:p>
    <w:p>
      <w:pPr>
        <w:spacing w:after="0"/>
        <w:tabs>
          <w:tab w:leader="none" w:pos="1500" w:val="left"/>
          <w:tab w:leader="none" w:pos="4720" w:val="left"/>
        </w:tabs>
        <w:rPr>
          <w:sz w:val="20"/>
          <w:szCs w:val="20"/>
          <w:color w:val="auto"/>
        </w:rPr>
      </w:pPr>
      <w:r>
        <w:rPr>
          <w:rFonts w:ascii="Arial" w:cs="Arial" w:eastAsia="Arial" w:hAnsi="Arial"/>
          <w:sz w:val="22"/>
          <w:szCs w:val="22"/>
          <w:b w:val="1"/>
          <w:bCs w:val="1"/>
          <w:color w:val="auto"/>
        </w:rPr>
        <w:t>SECTION 1.</w:t>
        <w:tab/>
        <w:t>AUTHORIZATION OF NOTES</w:t>
      </w:r>
      <w:r>
        <w:rPr>
          <w:sz w:val="20"/>
          <w:szCs w:val="20"/>
          <w:color w:val="auto"/>
        </w:rPr>
        <w:tab/>
      </w:r>
      <w:r>
        <w:rPr>
          <w:rFonts w:ascii="Arial" w:cs="Arial" w:eastAsia="Arial" w:hAnsi="Arial"/>
          <w:sz w:val="21"/>
          <w:szCs w:val="21"/>
          <w:color w:val="auto"/>
        </w:rPr>
        <w:t>.</w:t>
      </w:r>
    </w:p>
    <w:p>
      <w:pPr>
        <w:spacing w:after="0" w:line="287" w:lineRule="exact"/>
        <w:rPr>
          <w:sz w:val="20"/>
          <w:szCs w:val="20"/>
          <w:color w:val="auto"/>
        </w:rPr>
      </w:pPr>
    </w:p>
    <w:p>
      <w:pPr>
        <w:jc w:val="both"/>
        <w:ind w:firstLine="1513"/>
        <w:spacing w:after="0" w:line="326" w:lineRule="auto"/>
        <w:rPr>
          <w:sz w:val="20"/>
          <w:szCs w:val="20"/>
          <w:color w:val="auto"/>
        </w:rPr>
      </w:pPr>
      <w:r>
        <w:rPr>
          <w:rFonts w:ascii="Arial" w:cs="Arial" w:eastAsia="Arial" w:hAnsi="Arial"/>
          <w:sz w:val="19"/>
          <w:szCs w:val="19"/>
          <w:b w:val="1"/>
          <w:bCs w:val="1"/>
          <w:color w:val="auto"/>
        </w:rPr>
        <w:t>Section 1.1. Authorization of Notes</w:t>
      </w:r>
      <w:r>
        <w:rPr>
          <w:rFonts w:ascii="Arial" w:cs="Arial" w:eastAsia="Arial" w:hAnsi="Arial"/>
          <w:sz w:val="19"/>
          <w:szCs w:val="19"/>
          <w:color w:val="auto"/>
        </w:rPr>
        <w:t>. The Company will authorize the issue and sale of (i) $150,000,000</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aggregate principal amount of its 4.04% Senior Guaranteed Notes, Series A, due October 31, 2021 (the </w:t>
      </w:r>
      <w:r>
        <w:rPr>
          <w:rFonts w:ascii="Arial" w:cs="Arial" w:eastAsia="Arial" w:hAnsi="Arial"/>
          <w:sz w:val="19"/>
          <w:szCs w:val="19"/>
          <w:b w:val="1"/>
          <w:bCs w:val="1"/>
          <w:color w:val="auto"/>
        </w:rPr>
        <w:t>“Series A Notes”</w:t>
      </w:r>
      <w:r>
        <w:rPr>
          <w:rFonts w:ascii="Arial" w:cs="Arial" w:eastAsia="Arial" w:hAnsi="Arial"/>
          <w:sz w:val="19"/>
          <w:szCs w:val="19"/>
          <w:color w:val="auto"/>
        </w:rPr>
        <w:t>),</w:t>
      </w:r>
    </w:p>
    <w:p>
      <w:pPr>
        <w:spacing w:after="0" w:line="1" w:lineRule="exact"/>
        <w:rPr>
          <w:sz w:val="20"/>
          <w:szCs w:val="20"/>
          <w:color w:val="auto"/>
        </w:rPr>
      </w:pPr>
    </w:p>
    <w:p>
      <w:pPr>
        <w:jc w:val="both"/>
        <w:ind w:firstLine="8"/>
        <w:spacing w:after="0" w:line="300" w:lineRule="auto"/>
        <w:tabs>
          <w:tab w:leader="none" w:pos="321" w:val="left"/>
        </w:tabs>
        <w:numPr>
          <w:ilvl w:val="0"/>
          <w:numId w:val="3"/>
        </w:numPr>
        <w:rPr>
          <w:rFonts w:ascii="Arial" w:cs="Arial" w:eastAsia="Arial" w:hAnsi="Arial"/>
          <w:sz w:val="21"/>
          <w:szCs w:val="21"/>
          <w:color w:val="auto"/>
        </w:rPr>
      </w:pPr>
      <w:r>
        <w:rPr>
          <w:rFonts w:ascii="Arial" w:cs="Arial" w:eastAsia="Arial" w:hAnsi="Arial"/>
          <w:sz w:val="21"/>
          <w:szCs w:val="21"/>
          <w:color w:val="auto"/>
        </w:rPr>
        <w:t xml:space="preserve">$100,000,000 aggregate principal amount of its 4.45% Senior Guaranteed Notes, Series B, due February 2, 2025 (the </w:t>
      </w:r>
      <w:r>
        <w:rPr>
          <w:rFonts w:ascii="Arial" w:cs="Arial" w:eastAsia="Arial" w:hAnsi="Arial"/>
          <w:sz w:val="21"/>
          <w:szCs w:val="21"/>
          <w:b w:val="1"/>
          <w:bCs w:val="1"/>
          <w:color w:val="auto"/>
        </w:rPr>
        <w:t>“Series B</w:t>
      </w:r>
      <w:r>
        <w:rPr>
          <w:rFonts w:ascii="Arial" w:cs="Arial" w:eastAsia="Arial" w:hAnsi="Arial"/>
          <w:sz w:val="21"/>
          <w:szCs w:val="21"/>
          <w:color w:val="auto"/>
        </w:rPr>
        <w:t xml:space="preserve"> </w:t>
      </w:r>
      <w:r>
        <w:rPr>
          <w:rFonts w:ascii="Arial" w:cs="Arial" w:eastAsia="Arial" w:hAnsi="Arial"/>
          <w:sz w:val="21"/>
          <w:szCs w:val="21"/>
          <w:b w:val="1"/>
          <w:bCs w:val="1"/>
          <w:color w:val="auto"/>
        </w:rPr>
        <w:t>Notes”</w:t>
      </w:r>
      <w:r>
        <w:rPr>
          <w:rFonts w:ascii="Arial" w:cs="Arial" w:eastAsia="Arial" w:hAnsi="Arial"/>
          <w:sz w:val="21"/>
          <w:szCs w:val="21"/>
          <w:color w:val="auto"/>
        </w:rPr>
        <w:t>), and (iii) $100,000,000 aggregate principal amount of its 4.50% Senior Guaranteed Notes, Series C, due April 1, 2025 (the</w:t>
      </w:r>
      <w:r>
        <w:rPr>
          <w:rFonts w:ascii="Arial" w:cs="Arial" w:eastAsia="Arial" w:hAnsi="Arial"/>
          <w:sz w:val="21"/>
          <w:szCs w:val="21"/>
          <w:b w:val="1"/>
          <w:bCs w:val="1"/>
          <w:color w:val="auto"/>
        </w:rPr>
        <w:t xml:space="preserve"> “Series C Notes”</w:t>
      </w:r>
      <w:r>
        <w:rPr>
          <w:rFonts w:ascii="Arial" w:cs="Arial" w:eastAsia="Arial" w:hAnsi="Arial"/>
          <w:sz w:val="21"/>
          <w:szCs w:val="21"/>
          <w:color w:val="auto"/>
        </w:rPr>
        <w:t>, and together with the Series A Notes and Series B Notes, as amended, restated or otherwise modified from time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time pursuant to Section 17 and including any such notes issued in substitution therefor pursuant to Section 13, the </w:t>
      </w:r>
      <w:r>
        <w:rPr>
          <w:rFonts w:ascii="Arial" w:cs="Arial" w:eastAsia="Arial" w:hAnsi="Arial"/>
          <w:sz w:val="21"/>
          <w:szCs w:val="21"/>
          <w:b w:val="1"/>
          <w:bCs w:val="1"/>
          <w:color w:val="auto"/>
        </w:rPr>
        <w:t>“Notes”</w:t>
      </w:r>
      <w:r>
        <w:rPr>
          <w:rFonts w:ascii="Arial" w:cs="Arial" w:eastAsia="Arial" w:hAnsi="Arial"/>
          <w:sz w:val="21"/>
          <w:szCs w:val="21"/>
          <w:color w:val="auto"/>
        </w:rPr>
        <w:t>). The Notes shall be substantially in the respective forms set out in Schedule 1(a), Schedule 1(b) and Schedule 1(c). Certain capitalized and other terms used in this Agreement are defined in Schedule A. References to a “Schedule” are references to a Schedule attached to this Agreement unless otherwise specified. References to a “Section” are references to a Section of this Agreement unless otherwise specified.</w:t>
      </w:r>
    </w:p>
    <w:p>
      <w:pPr>
        <w:spacing w:after="0" w:line="211" w:lineRule="exact"/>
        <w:rPr>
          <w:rFonts w:ascii="Arial" w:cs="Arial" w:eastAsia="Arial" w:hAnsi="Arial"/>
          <w:sz w:val="21"/>
          <w:szCs w:val="21"/>
          <w:color w:val="auto"/>
        </w:rPr>
      </w:pPr>
    </w:p>
    <w:p>
      <w:pPr>
        <w:ind w:left="5660" w:hanging="126"/>
        <w:spacing w:after="0"/>
        <w:tabs>
          <w:tab w:leader="none" w:pos="5660" w:val="left"/>
        </w:tabs>
        <w:numPr>
          <w:ilvl w:val="1"/>
          <w:numId w:val="3"/>
        </w:numPr>
        <w:rPr>
          <w:rFonts w:ascii="Arial" w:cs="Arial" w:eastAsia="Arial" w:hAnsi="Arial"/>
          <w:sz w:val="22"/>
          <w:szCs w:val="22"/>
          <w:color w:val="auto"/>
        </w:rPr>
      </w:pPr>
      <w:r>
        <w:rPr>
          <w:rFonts w:ascii="Arial" w:cs="Arial" w:eastAsia="Arial" w:hAnsi="Arial"/>
          <w:sz w:val="22"/>
          <w:szCs w:val="22"/>
          <w:color w:val="auto"/>
        </w:rPr>
        <w:t>1 -</w:t>
      </w:r>
    </w:p>
    <w:p>
      <w:pPr>
        <w:sectPr>
          <w:pgSz w:w="11900" w:h="16838" w:orient="portrait"/>
          <w:cols w:equalWidth="0" w:num="1">
            <w:col w:w="11420"/>
          </w:cols>
          <w:pgMar w:left="240" w:top="679" w:right="239" w:bottom="1440" w:gutter="0" w:footer="0" w:header="0"/>
        </w:sectPr>
      </w:pPr>
    </w:p>
    <w:bookmarkStart w:id="14" w:name="page15"/>
    <w:bookmarkEnd w:id="14"/>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1513"/>
        <w:spacing w:after="0" w:line="288" w:lineRule="auto"/>
        <w:rPr>
          <w:sz w:val="20"/>
          <w:szCs w:val="20"/>
          <w:color w:val="auto"/>
        </w:rPr>
      </w:pPr>
      <w:r>
        <w:rPr>
          <w:rFonts w:ascii="Arial" w:cs="Arial" w:eastAsia="Arial" w:hAnsi="Arial"/>
          <w:sz w:val="22"/>
          <w:szCs w:val="22"/>
          <w:b w:val="1"/>
          <w:bCs w:val="1"/>
          <w:color w:val="auto"/>
        </w:rPr>
        <w:t>Section 1.2. Affiliate Guaranty</w:t>
      </w:r>
      <w:r>
        <w:rPr>
          <w:rFonts w:ascii="Arial" w:cs="Arial" w:eastAsia="Arial" w:hAnsi="Arial"/>
          <w:sz w:val="22"/>
          <w:szCs w:val="22"/>
          <w:color w:val="auto"/>
        </w:rPr>
        <w:t>. The payment by the Company of all amounts due with respect to the Notes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the performance by the Company of its obligations under this Agreement will be absolutely and unconditionally guaranteed by the REIT and certain of its and the Company’s Subsidiaries pursuant to the guaranty agreement of the REIT substantially in the form of Schedule C attached hereto and made a part hereof (each as the same may be amended, modified, extended or renewed, the </w:t>
      </w:r>
      <w:r>
        <w:rPr>
          <w:rFonts w:ascii="Arial" w:cs="Arial" w:eastAsia="Arial" w:hAnsi="Arial"/>
          <w:sz w:val="22"/>
          <w:szCs w:val="22"/>
          <w:b w:val="1"/>
          <w:bCs w:val="1"/>
          <w:color w:val="auto"/>
        </w:rPr>
        <w:t>“Affiliate Guaranty”</w:t>
      </w:r>
      <w:r>
        <w:rPr>
          <w:rFonts w:ascii="Arial" w:cs="Arial" w:eastAsia="Arial" w:hAnsi="Arial"/>
          <w:sz w:val="22"/>
          <w:szCs w:val="22"/>
          <w:color w:val="auto"/>
        </w:rPr>
        <w:t>).</w:t>
      </w:r>
    </w:p>
    <w:p>
      <w:pPr>
        <w:spacing w:after="0" w:line="251"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1"/>
          <w:szCs w:val="21"/>
          <w:b w:val="1"/>
          <w:bCs w:val="1"/>
          <w:color w:val="auto"/>
        </w:rPr>
        <w:t>SALE AND PURCHASE OF NOTES</w:t>
      </w:r>
      <w:r>
        <w:rPr>
          <w:rFonts w:ascii="Arial" w:cs="Arial" w:eastAsia="Arial" w:hAnsi="Arial"/>
          <w:sz w:val="21"/>
          <w:szCs w:val="21"/>
          <w:color w:val="auto"/>
        </w:rPr>
        <w:t>.</w:t>
      </w:r>
    </w:p>
    <w:p>
      <w:pPr>
        <w:spacing w:after="0" w:line="293"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Subject to the terms and conditions of this Agreement, the Company will issue and sell to each Purchaser and each Purchaser will purchase from the Company, at the applicable Closing provided for in Section 3, Notes of the series and in the principal amount specified opposite such Purchaser’s name in Schedule B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spacing w:after="0" w:line="211"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b w:val="1"/>
          <w:bCs w:val="1"/>
          <w:color w:val="auto"/>
        </w:rPr>
        <w:t>CLOSING</w:t>
      </w:r>
      <w:r>
        <w:rPr>
          <w:rFonts w:ascii="Arial" w:cs="Arial" w:eastAsia="Arial" w:hAnsi="Arial"/>
          <w:sz w:val="21"/>
          <w:szCs w:val="21"/>
          <w:color w:val="auto"/>
        </w:rPr>
        <w:t>.</w:t>
      </w:r>
    </w:p>
    <w:p>
      <w:pPr>
        <w:spacing w:after="0" w:line="287" w:lineRule="exact"/>
        <w:rPr>
          <w:sz w:val="20"/>
          <w:szCs w:val="20"/>
          <w:color w:val="auto"/>
        </w:rPr>
      </w:pPr>
    </w:p>
    <w:p>
      <w:pPr>
        <w:jc w:val="both"/>
        <w:ind w:firstLine="832"/>
        <w:spacing w:after="0" w:line="302" w:lineRule="exact"/>
        <w:tabs>
          <w:tab w:leader="none" w:pos="1276"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The sale and purchase of the (i) Series A Notes to be purchased by each Purchaser shall occur at a closing (the </w:t>
      </w:r>
      <w:r>
        <w:rPr>
          <w:rFonts w:ascii="Arial" w:cs="Arial" w:eastAsia="Arial" w:hAnsi="Arial"/>
          <w:sz w:val="19"/>
          <w:szCs w:val="19"/>
          <w:b w:val="1"/>
          <w:bCs w:val="1"/>
          <w:color w:val="auto"/>
        </w:rPr>
        <w:t>“First</w:t>
      </w:r>
      <w:r>
        <w:rPr>
          <w:rFonts w:ascii="Arial" w:cs="Arial" w:eastAsia="Arial" w:hAnsi="Arial"/>
          <w:sz w:val="19"/>
          <w:szCs w:val="19"/>
          <w:color w:val="auto"/>
        </w:rPr>
        <w:t xml:space="preserve"> </w:t>
      </w:r>
      <w:r>
        <w:rPr>
          <w:rFonts w:ascii="Arial" w:cs="Arial" w:eastAsia="Arial" w:hAnsi="Arial"/>
          <w:sz w:val="19"/>
          <w:szCs w:val="19"/>
          <w:b w:val="1"/>
          <w:bCs w:val="1"/>
          <w:color w:val="auto"/>
        </w:rPr>
        <w:t>Closing”</w:t>
      </w:r>
      <w:r>
        <w:rPr>
          <w:rFonts w:ascii="Arial" w:cs="Arial" w:eastAsia="Arial" w:hAnsi="Arial"/>
          <w:sz w:val="19"/>
          <w:szCs w:val="19"/>
          <w:color w:val="auto"/>
        </w:rPr>
        <w:t>) on October 31, 2014 or on such other Business Day thereafter on or prior to November 3, 2014 as may be agreed upon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the Company and the Purchasers of the Series A Notes, (ii) Series B Notes to be purchased by each Purchaser shall occur at a closing (the </w:t>
      </w:r>
      <w:r>
        <w:rPr>
          <w:rFonts w:ascii="Arial" w:cs="Arial" w:eastAsia="Arial" w:hAnsi="Arial"/>
          <w:sz w:val="19"/>
          <w:szCs w:val="19"/>
          <w:b w:val="1"/>
          <w:bCs w:val="1"/>
          <w:color w:val="auto"/>
        </w:rPr>
        <w:t>“Second Closing”</w:t>
      </w:r>
      <w:r>
        <w:rPr>
          <w:rFonts w:ascii="Arial" w:cs="Arial" w:eastAsia="Arial" w:hAnsi="Arial"/>
          <w:sz w:val="19"/>
          <w:szCs w:val="19"/>
          <w:color w:val="auto"/>
        </w:rPr>
        <w:t xml:space="preserve">) on February 2, 2015 or on such other Business Day thereafter on or prior to February 3, 2015 as may be agreed upon by the Company and the Purchasers of the Series B Notes and (iii) Series C Notes to be purchased by each Purchaser shall occur at a closing (the </w:t>
      </w:r>
      <w:r>
        <w:rPr>
          <w:rFonts w:ascii="Arial" w:cs="Arial" w:eastAsia="Arial" w:hAnsi="Arial"/>
          <w:sz w:val="19"/>
          <w:szCs w:val="19"/>
          <w:b w:val="1"/>
          <w:bCs w:val="1"/>
          <w:color w:val="auto"/>
        </w:rPr>
        <w:t>“Third Closing”</w:t>
      </w:r>
      <w:r>
        <w:rPr>
          <w:rFonts w:ascii="Arial" w:cs="Arial" w:eastAsia="Arial" w:hAnsi="Arial"/>
          <w:sz w:val="19"/>
          <w:szCs w:val="19"/>
          <w:color w:val="auto"/>
        </w:rPr>
        <w:t>) on April 2, 2015 or such other Business Day thereafter on or prior to April 3, 2015 as may be agreed upon by the Company and the Purchasers of the Series C Notes, at the offices of Chapman and Cutler LLP, 111 W. Monroe St., Chicago, Illinois 60603 at 10:00 a.m., central time. At each Closing the Company will deliver to each Purchaser the Notes to be purchased by such Purchaser at such Closing in the form of a single Note (or such greater number of Notes in denominations of at least $100,000 as such Purchaser may request) dated the date of such Closing and registered in such Purchaser’s name (or in the name of its nominee), against delivery by such Purchaser to the Company or its order of immediately available funds in the amount of the purchase price therefor by wire transfer of immediately available funds for the account of the Company to account number 4124</w:t>
      </w:r>
      <w:r>
        <w:rPr>
          <w:rFonts w:ascii="MS PGothic" w:cs="MS PGothic" w:eastAsia="MS PGothic" w:hAnsi="MS PGothic"/>
          <w:sz w:val="19"/>
          <w:szCs w:val="19"/>
          <w:color w:val="auto"/>
        </w:rPr>
        <w:t>‑</w:t>
      </w:r>
      <w:r>
        <w:rPr>
          <w:rFonts w:ascii="Arial" w:cs="Arial" w:eastAsia="Arial" w:hAnsi="Arial"/>
          <w:sz w:val="19"/>
          <w:szCs w:val="19"/>
          <w:color w:val="auto"/>
        </w:rPr>
        <w:t>514787 at Wells Fargo Bank, N.A., Address: 420 Montgomery Street, San Francisco, California 94104; ABA: 121</w:t>
      </w:r>
      <w:r>
        <w:rPr>
          <w:rFonts w:ascii="MS PGothic" w:cs="MS PGothic" w:eastAsia="MS PGothic" w:hAnsi="MS PGothic"/>
          <w:sz w:val="19"/>
          <w:szCs w:val="19"/>
          <w:color w:val="auto"/>
        </w:rPr>
        <w:t>‑</w:t>
      </w:r>
      <w:r>
        <w:rPr>
          <w:rFonts w:ascii="Arial" w:cs="Arial" w:eastAsia="Arial" w:hAnsi="Arial"/>
          <w:sz w:val="19"/>
          <w:szCs w:val="19"/>
          <w:color w:val="auto"/>
        </w:rPr>
        <w:t>000</w:t>
      </w:r>
      <w:r>
        <w:rPr>
          <w:rFonts w:ascii="MS PGothic" w:cs="MS PGothic" w:eastAsia="MS PGothic" w:hAnsi="MS PGothic"/>
          <w:sz w:val="19"/>
          <w:szCs w:val="19"/>
          <w:color w:val="auto"/>
        </w:rPr>
        <w:t>‑</w:t>
      </w:r>
      <w:r>
        <w:rPr>
          <w:rFonts w:ascii="Arial" w:cs="Arial" w:eastAsia="Arial" w:hAnsi="Arial"/>
          <w:sz w:val="19"/>
          <w:szCs w:val="19"/>
          <w:color w:val="auto"/>
        </w:rPr>
        <w:t>248. If at a Closing the Company shall fail to tender such Notes to any Purchaser as provided above in this Section 3, or any of the conditions specified in Section 4 shall not have been fulfilled to such Purchaser’s satisfaction, such Purchaser shall, at</w:t>
      </w:r>
    </w:p>
    <w:p>
      <w:pPr>
        <w:spacing w:after="0" w:line="200" w:lineRule="exact"/>
        <w:rPr>
          <w:sz w:val="20"/>
          <w:szCs w:val="20"/>
          <w:color w:val="auto"/>
        </w:rPr>
      </w:pPr>
    </w:p>
    <w:p>
      <w:pPr>
        <w:spacing w:after="0" w:line="283"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15" w:name="page16"/>
    <w:bookmarkEnd w:id="15"/>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its election, be relieved of all further obligations under this Agreement with respect to such Closing, without thereby waiving any rights such Purchaser may have by reason of any of the conditions specified in Section 4 not having been fulfilled to such Purchaser’s satisfaction or such failure by the Company to tender such Notes.</w:t>
      </w:r>
    </w:p>
    <w:p>
      <w:pPr>
        <w:spacing w:after="0" w:line="205" w:lineRule="exact"/>
        <w:rPr>
          <w:sz w:val="20"/>
          <w:szCs w:val="20"/>
          <w:color w:val="auto"/>
        </w:rPr>
      </w:pPr>
    </w:p>
    <w:p>
      <w:pPr>
        <w:ind w:firstLine="832"/>
        <w:spacing w:after="0" w:line="308" w:lineRule="auto"/>
        <w:tabs>
          <w:tab w:leader="none" w:pos="1314"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The First Closing, Second Closing and Third Closing are each referred to herein as a </w:t>
      </w:r>
      <w:r>
        <w:rPr>
          <w:rFonts w:ascii="Arial" w:cs="Arial" w:eastAsia="Arial" w:hAnsi="Arial"/>
          <w:sz w:val="22"/>
          <w:szCs w:val="22"/>
          <w:b w:val="1"/>
          <w:bCs w:val="1"/>
          <w:color w:val="auto"/>
        </w:rPr>
        <w:t>“Closing”</w:t>
      </w:r>
      <w:r>
        <w:rPr>
          <w:rFonts w:ascii="Arial" w:cs="Arial" w:eastAsia="Arial" w:hAnsi="Arial"/>
          <w:sz w:val="22"/>
          <w:szCs w:val="22"/>
          <w:color w:val="auto"/>
        </w:rPr>
        <w:t xml:space="preserve"> and collectively, as the </w:t>
      </w:r>
      <w:r>
        <w:rPr>
          <w:rFonts w:ascii="Arial" w:cs="Arial" w:eastAsia="Arial" w:hAnsi="Arial"/>
          <w:sz w:val="22"/>
          <w:szCs w:val="22"/>
          <w:b w:val="1"/>
          <w:bCs w:val="1"/>
          <w:color w:val="auto"/>
        </w:rPr>
        <w:t>“Closings”</w:t>
      </w:r>
      <w:r>
        <w:rPr>
          <w:rFonts w:ascii="Arial" w:cs="Arial" w:eastAsia="Arial" w:hAnsi="Arial"/>
          <w:sz w:val="22"/>
          <w:szCs w:val="22"/>
          <w:color w:val="auto"/>
        </w:rPr>
        <w:t>.</w:t>
      </w:r>
    </w:p>
    <w:p>
      <w:pPr>
        <w:spacing w:after="0" w:line="229"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b w:val="1"/>
          <w:bCs w:val="1"/>
          <w:color w:val="auto"/>
        </w:rPr>
        <w:t>CONDITIONS TO CLOSING</w:t>
      </w:r>
      <w:r>
        <w:rPr>
          <w:rFonts w:ascii="Arial" w:cs="Arial" w:eastAsia="Arial" w:hAnsi="Arial"/>
          <w:sz w:val="21"/>
          <w:szCs w:val="21"/>
          <w:color w:val="auto"/>
        </w:rPr>
        <w:t>.</w:t>
      </w:r>
    </w:p>
    <w:p>
      <w:pPr>
        <w:spacing w:after="0" w:line="293"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Each Purchaser’s obligation to purchase and pay for the Notes to be sold to such Purchaser at each Closing is subject to the fulfillment to such Purchaser’s satisfaction, prior to or at such Closing, of the following conditions:</w:t>
      </w:r>
    </w:p>
    <w:p>
      <w:pPr>
        <w:spacing w:after="0" w:line="195" w:lineRule="exact"/>
        <w:rPr>
          <w:sz w:val="20"/>
          <w:szCs w:val="20"/>
          <w:color w:val="auto"/>
        </w:rPr>
      </w:pPr>
    </w:p>
    <w:p>
      <w:pPr>
        <w:ind w:firstLine="1513"/>
        <w:spacing w:after="0" w:line="308" w:lineRule="auto"/>
        <w:rPr>
          <w:sz w:val="20"/>
          <w:szCs w:val="20"/>
          <w:color w:val="auto"/>
        </w:rPr>
      </w:pPr>
      <w:r>
        <w:rPr>
          <w:rFonts w:ascii="Arial" w:cs="Arial" w:eastAsia="Arial" w:hAnsi="Arial"/>
          <w:sz w:val="22"/>
          <w:szCs w:val="22"/>
          <w:b w:val="1"/>
          <w:bCs w:val="1"/>
          <w:color w:val="auto"/>
        </w:rPr>
        <w:t>Section 4.1. Representations and Warranties</w:t>
      </w:r>
      <w:r>
        <w:rPr>
          <w:rFonts w:ascii="Arial" w:cs="Arial" w:eastAsia="Arial" w:hAnsi="Arial"/>
          <w:sz w:val="22"/>
          <w:szCs w:val="22"/>
          <w:color w:val="auto"/>
        </w:rPr>
        <w:t>. (a) The representations and warranties of the Company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correct in all material respects when made and at the time of such Closing.</w:t>
      </w:r>
    </w:p>
    <w:p>
      <w:pPr>
        <w:spacing w:after="0" w:line="194" w:lineRule="exact"/>
        <w:rPr>
          <w:sz w:val="20"/>
          <w:szCs w:val="20"/>
          <w:color w:val="auto"/>
        </w:rPr>
      </w:pPr>
    </w:p>
    <w:p>
      <w:pPr>
        <w:ind w:firstLine="832"/>
        <w:spacing w:after="0" w:line="302" w:lineRule="auto"/>
        <w:tabs>
          <w:tab w:leader="none" w:pos="1329"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representations and warranties in this Agreement with respect to the Guarantors shall be correct in all material respects when made and at the time of such Closing.</w:t>
      </w:r>
    </w:p>
    <w:p>
      <w:pPr>
        <w:spacing w:after="0" w:line="195" w:lineRule="exact"/>
        <w:rPr>
          <w:sz w:val="20"/>
          <w:szCs w:val="20"/>
          <w:color w:val="auto"/>
        </w:rPr>
      </w:pPr>
    </w:p>
    <w:p>
      <w:pPr>
        <w:jc w:val="both"/>
        <w:ind w:firstLine="1513"/>
        <w:spacing w:after="0" w:line="300" w:lineRule="auto"/>
        <w:rPr>
          <w:sz w:val="20"/>
          <w:szCs w:val="20"/>
          <w:color w:val="auto"/>
        </w:rPr>
      </w:pPr>
      <w:r>
        <w:rPr>
          <w:rFonts w:ascii="Arial" w:cs="Arial" w:eastAsia="Arial" w:hAnsi="Arial"/>
          <w:sz w:val="21"/>
          <w:szCs w:val="21"/>
          <w:b w:val="1"/>
          <w:bCs w:val="1"/>
          <w:color w:val="auto"/>
        </w:rPr>
        <w:t>Section 4.2. Performance; No Default</w:t>
      </w:r>
      <w:r>
        <w:rPr>
          <w:rFonts w:ascii="Arial" w:cs="Arial" w:eastAsia="Arial" w:hAnsi="Arial"/>
          <w:sz w:val="21"/>
          <w:szCs w:val="21"/>
          <w:color w:val="auto"/>
        </w:rPr>
        <w:t>. (a) The Company shall have performed and complied in all material</w:t>
      </w:r>
      <w:r>
        <w:rPr>
          <w:rFonts w:ascii="Arial" w:cs="Arial" w:eastAsia="Arial" w:hAnsi="Arial"/>
          <w:sz w:val="21"/>
          <w:szCs w:val="21"/>
          <w:b w:val="1"/>
          <w:bCs w:val="1"/>
          <w:color w:val="auto"/>
        </w:rPr>
        <w:t xml:space="preserve"> </w:t>
      </w:r>
      <w:r>
        <w:rPr>
          <w:rFonts w:ascii="Arial" w:cs="Arial" w:eastAsia="Arial" w:hAnsi="Arial"/>
          <w:sz w:val="21"/>
          <w:szCs w:val="21"/>
          <w:color w:val="auto"/>
        </w:rPr>
        <w:t>respects with all agreements and conditions contained in this Agreement required to be performed or complied with by it prior to or at such Closing and from the date of this Agreement to each Closing assuming that Sections 9 and 10 are applicable from the date of this Agreement. From the date of this Agreement until each Closing, before and after giving effect to the issue and sale of the Notes (and the application of the proceeds thereof as contemplated by Section 5.14), no Default or Event of Default shall have occurred and be continuing and no Change of Control shall have occurred. Neither the REIT, the Company nor any Subsidiary shall have entered into any transaction since the date of the Memorandum that would have been prohibited by Section 10 had such Section applied since such date.</w:t>
      </w:r>
    </w:p>
    <w:p>
      <w:pPr>
        <w:spacing w:after="0" w:line="211" w:lineRule="exact"/>
        <w:rPr>
          <w:sz w:val="20"/>
          <w:szCs w:val="20"/>
          <w:color w:val="auto"/>
        </w:rPr>
      </w:pPr>
    </w:p>
    <w:p>
      <w:pPr>
        <w:jc w:val="both"/>
        <w:ind w:firstLine="832"/>
        <w:spacing w:after="0" w:line="357" w:lineRule="auto"/>
        <w:tabs>
          <w:tab w:leader="none" w:pos="1309" w:val="left"/>
        </w:tabs>
        <w:numPr>
          <w:ilvl w:val="0"/>
          <w:numId w:val="7"/>
        </w:numPr>
        <w:rPr>
          <w:rFonts w:ascii="Arial" w:cs="Arial" w:eastAsia="Arial" w:hAnsi="Arial"/>
          <w:sz w:val="19"/>
          <w:szCs w:val="19"/>
          <w:color w:val="auto"/>
        </w:rPr>
      </w:pPr>
      <w:r>
        <w:rPr>
          <w:rFonts w:ascii="Arial" w:cs="Arial" w:eastAsia="Arial" w:hAnsi="Arial"/>
          <w:sz w:val="19"/>
          <w:szCs w:val="19"/>
          <w:color w:val="auto"/>
        </w:rPr>
        <w:t>Each Guarantor shall have performed and complied with all agreements and conditions contained in this Agreement or the applicable Affiliate Guaranty required to be performed and complied with by it prior to or at such Closing and from the date of this Agreement to each Closing assuming that Sections 9 and 10 are applicable from the date of this Agreement.</w:t>
      </w:r>
    </w:p>
    <w:p>
      <w:pPr>
        <w:spacing w:after="0" w:line="159"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16" w:name="page17"/>
    <w:bookmarkEnd w:id="16"/>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20"/>
        <w:spacing w:after="0"/>
        <w:tabs>
          <w:tab w:leader="none" w:pos="2760" w:val="left"/>
        </w:tabs>
        <w:rPr>
          <w:sz w:val="20"/>
          <w:szCs w:val="20"/>
          <w:color w:val="auto"/>
        </w:rPr>
      </w:pPr>
      <w:r>
        <w:rPr>
          <w:rFonts w:ascii="Arial" w:cs="Arial" w:eastAsia="Arial" w:hAnsi="Arial"/>
          <w:sz w:val="22"/>
          <w:szCs w:val="22"/>
          <w:b w:val="1"/>
          <w:bCs w:val="1"/>
          <w:color w:val="auto"/>
        </w:rPr>
        <w:t>Section 4.3.</w:t>
      </w:r>
      <w:r>
        <w:rPr>
          <w:sz w:val="20"/>
          <w:szCs w:val="20"/>
          <w:color w:val="auto"/>
        </w:rPr>
        <w:tab/>
      </w:r>
      <w:r>
        <w:rPr>
          <w:rFonts w:ascii="Arial" w:cs="Arial" w:eastAsia="Arial" w:hAnsi="Arial"/>
          <w:sz w:val="19"/>
          <w:szCs w:val="19"/>
          <w:b w:val="1"/>
          <w:bCs w:val="1"/>
          <w:color w:val="auto"/>
        </w:rPr>
        <w:t>Compliance Certificates</w:t>
      </w:r>
      <w:r>
        <w:rPr>
          <w:rFonts w:ascii="Arial" w:cs="Arial" w:eastAsia="Arial" w:hAnsi="Arial"/>
          <w:sz w:val="19"/>
          <w:szCs w:val="19"/>
          <w:color w:val="auto"/>
        </w:rPr>
        <w:t>.</w:t>
      </w:r>
    </w:p>
    <w:p>
      <w:pPr>
        <w:spacing w:after="0" w:line="293" w:lineRule="exact"/>
        <w:rPr>
          <w:sz w:val="20"/>
          <w:szCs w:val="20"/>
          <w:color w:val="auto"/>
        </w:rPr>
      </w:pPr>
    </w:p>
    <w:p>
      <w:pPr>
        <w:ind w:firstLine="832"/>
        <w:spacing w:after="0" w:line="387" w:lineRule="auto"/>
        <w:tabs>
          <w:tab w:leader="none" w:pos="1293" w:val="left"/>
        </w:tabs>
        <w:numPr>
          <w:ilvl w:val="0"/>
          <w:numId w:val="8"/>
        </w:numPr>
        <w:rPr>
          <w:rFonts w:ascii="Arial" w:cs="Arial" w:eastAsia="Arial" w:hAnsi="Arial"/>
          <w:sz w:val="19"/>
          <w:szCs w:val="19"/>
          <w:color w:val="auto"/>
        </w:rPr>
      </w:pPr>
      <w:r>
        <w:rPr>
          <w:rFonts w:ascii="Arial" w:cs="Arial" w:eastAsia="Arial" w:hAnsi="Arial"/>
          <w:sz w:val="19"/>
          <w:szCs w:val="19"/>
          <w:i w:val="1"/>
          <w:iCs w:val="1"/>
          <w:color w:val="auto"/>
        </w:rPr>
        <w:t>Officer’s Certificate</w:t>
      </w:r>
      <w:r>
        <w:rPr>
          <w:rFonts w:ascii="Arial" w:cs="Arial" w:eastAsia="Arial" w:hAnsi="Arial"/>
          <w:sz w:val="19"/>
          <w:szCs w:val="19"/>
          <w:color w:val="auto"/>
        </w:rPr>
        <w:t>. The Company shall have delivered to such Purchaser an Officer’s Certificate, dated the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such Closing, certifying on behalf of the Note Parties that the conditions specified in Sections 4.1, 4.2 and 4.9 have been fulfilled.</w:t>
      </w:r>
    </w:p>
    <w:p>
      <w:pPr>
        <w:spacing w:after="0" w:line="132" w:lineRule="exact"/>
        <w:rPr>
          <w:rFonts w:ascii="Arial" w:cs="Arial" w:eastAsia="Arial" w:hAnsi="Arial"/>
          <w:sz w:val="19"/>
          <w:szCs w:val="19"/>
          <w:color w:val="auto"/>
        </w:rPr>
      </w:pPr>
    </w:p>
    <w:p>
      <w:pPr>
        <w:jc w:val="both"/>
        <w:ind w:firstLine="832"/>
        <w:spacing w:after="0" w:line="288" w:lineRule="auto"/>
        <w:tabs>
          <w:tab w:leader="none" w:pos="1454" w:val="left"/>
        </w:tabs>
        <w:numPr>
          <w:ilvl w:val="0"/>
          <w:numId w:val="8"/>
        </w:numPr>
        <w:rPr>
          <w:rFonts w:ascii="Arial" w:cs="Arial" w:eastAsia="Arial" w:hAnsi="Arial"/>
          <w:sz w:val="22"/>
          <w:szCs w:val="22"/>
          <w:color w:val="auto"/>
        </w:rPr>
      </w:pPr>
      <w:r>
        <w:rPr>
          <w:rFonts w:ascii="Arial" w:cs="Arial" w:eastAsia="Arial" w:hAnsi="Arial"/>
          <w:sz w:val="22"/>
          <w:szCs w:val="22"/>
          <w:i w:val="1"/>
          <w:iCs w:val="1"/>
          <w:color w:val="auto"/>
        </w:rPr>
        <w:t>Secretary’s Certificate</w:t>
      </w:r>
      <w:r>
        <w:rPr>
          <w:rFonts w:ascii="Arial" w:cs="Arial" w:eastAsia="Arial" w:hAnsi="Arial"/>
          <w:sz w:val="22"/>
          <w:szCs w:val="22"/>
          <w:color w:val="auto"/>
        </w:rPr>
        <w:t>. The Company shall have delivered to such Purchaser a certificate of its Secretary or</w:t>
      </w:r>
      <w:r>
        <w:rPr>
          <w:rFonts w:ascii="Arial" w:cs="Arial" w:eastAsia="Arial" w:hAnsi="Arial"/>
          <w:sz w:val="22"/>
          <w:szCs w:val="22"/>
          <w:i w:val="1"/>
          <w:iCs w:val="1"/>
          <w:color w:val="auto"/>
        </w:rPr>
        <w:t xml:space="preserve"> </w:t>
      </w:r>
      <w:r>
        <w:rPr>
          <w:rFonts w:ascii="Arial" w:cs="Arial" w:eastAsia="Arial" w:hAnsi="Arial"/>
          <w:sz w:val="22"/>
          <w:szCs w:val="22"/>
          <w:color w:val="auto"/>
        </w:rPr>
        <w:t>Assistant Secretary, dated the date of such Closing, certifying as to (i) the resolutions attached thereto and other limited partnership proceedings relating to the authorization, execution and delivery of the Notes and this Agreement and (ii) the Company’s organizational documents as then in effect.</w:t>
      </w:r>
    </w:p>
    <w:p>
      <w:pPr>
        <w:spacing w:after="0" w:line="217" w:lineRule="exact"/>
        <w:rPr>
          <w:rFonts w:ascii="Arial" w:cs="Arial" w:eastAsia="Arial" w:hAnsi="Arial"/>
          <w:sz w:val="22"/>
          <w:szCs w:val="22"/>
          <w:color w:val="auto"/>
        </w:rPr>
      </w:pPr>
    </w:p>
    <w:p>
      <w:pPr>
        <w:jc w:val="both"/>
        <w:ind w:firstLine="832"/>
        <w:spacing w:after="0" w:line="292" w:lineRule="auto"/>
        <w:tabs>
          <w:tab w:leader="none" w:pos="1293" w:val="left"/>
        </w:tabs>
        <w:numPr>
          <w:ilvl w:val="0"/>
          <w:numId w:val="8"/>
        </w:numPr>
        <w:rPr>
          <w:rFonts w:ascii="Arial" w:cs="Arial" w:eastAsia="Arial" w:hAnsi="Arial"/>
          <w:sz w:val="22"/>
          <w:szCs w:val="22"/>
          <w:color w:val="auto"/>
        </w:rPr>
      </w:pPr>
      <w:r>
        <w:rPr>
          <w:rFonts w:ascii="Arial" w:cs="Arial" w:eastAsia="Arial" w:hAnsi="Arial"/>
          <w:sz w:val="22"/>
          <w:szCs w:val="22"/>
          <w:i w:val="1"/>
          <w:iCs w:val="1"/>
          <w:color w:val="auto"/>
        </w:rPr>
        <w:t>Guarantor Officer’s Certificate</w:t>
      </w:r>
      <w:r>
        <w:rPr>
          <w:rFonts w:ascii="Arial" w:cs="Arial" w:eastAsia="Arial" w:hAnsi="Arial"/>
          <w:sz w:val="22"/>
          <w:szCs w:val="22"/>
          <w:color w:val="auto"/>
        </w:rPr>
        <w:t>. Each Guarantor shall have delivered to such Purchaser a certificate of an authorized</w:t>
      </w:r>
      <w:r>
        <w:rPr>
          <w:rFonts w:ascii="Arial" w:cs="Arial" w:eastAsia="Arial" w:hAnsi="Arial"/>
          <w:sz w:val="22"/>
          <w:szCs w:val="22"/>
          <w:i w:val="1"/>
          <w:iCs w:val="1"/>
          <w:color w:val="auto"/>
        </w:rPr>
        <w:t xml:space="preserve"> </w:t>
      </w:r>
      <w:r>
        <w:rPr>
          <w:rFonts w:ascii="Arial" w:cs="Arial" w:eastAsia="Arial" w:hAnsi="Arial"/>
          <w:sz w:val="22"/>
          <w:szCs w:val="22"/>
          <w:color w:val="auto"/>
        </w:rPr>
        <w:t>officer, dated the date of such Closing, certifying as to the resolutions attached thereto and other legal proceedings relating to the authorization, execution and delivery of the applicable Affiliate Guaranty.</w:t>
      </w:r>
    </w:p>
    <w:p>
      <w:pPr>
        <w:spacing w:after="0" w:line="211" w:lineRule="exact"/>
        <w:rPr>
          <w:rFonts w:ascii="Arial" w:cs="Arial" w:eastAsia="Arial" w:hAnsi="Arial"/>
          <w:sz w:val="22"/>
          <w:szCs w:val="22"/>
          <w:color w:val="auto"/>
        </w:rPr>
      </w:pPr>
    </w:p>
    <w:p>
      <w:pPr>
        <w:ind w:left="1440" w:hanging="608"/>
        <w:spacing w:after="0"/>
        <w:tabs>
          <w:tab w:leader="none" w:pos="1440" w:val="left"/>
        </w:tabs>
        <w:numPr>
          <w:ilvl w:val="0"/>
          <w:numId w:val="8"/>
        </w:numPr>
        <w:rPr>
          <w:rFonts w:ascii="Arial" w:cs="Arial" w:eastAsia="Arial" w:hAnsi="Arial"/>
          <w:sz w:val="19"/>
          <w:szCs w:val="19"/>
          <w:color w:val="auto"/>
        </w:rPr>
      </w:pPr>
      <w:r>
        <w:rPr>
          <w:rFonts w:ascii="Arial" w:cs="Arial" w:eastAsia="Arial" w:hAnsi="Arial"/>
          <w:sz w:val="19"/>
          <w:szCs w:val="19"/>
          <w:i w:val="1"/>
          <w:iCs w:val="1"/>
          <w:color w:val="auto"/>
        </w:rPr>
        <w:t>Certificates</w:t>
      </w:r>
      <w:r>
        <w:rPr>
          <w:rFonts w:ascii="Arial" w:cs="Arial" w:eastAsia="Arial" w:hAnsi="Arial"/>
          <w:sz w:val="19"/>
          <w:szCs w:val="19"/>
          <w:color w:val="auto"/>
        </w:rPr>
        <w:t>. The certificates provided under this Section 4.3 may be combined and delivered as one or more</w:t>
      </w:r>
    </w:p>
    <w:p>
      <w:pPr>
        <w:spacing w:after="0" w:line="7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certificates.</w:t>
      </w:r>
    </w:p>
    <w:p>
      <w:pPr>
        <w:spacing w:after="0" w:line="281" w:lineRule="exact"/>
        <w:rPr>
          <w:sz w:val="20"/>
          <w:szCs w:val="20"/>
          <w:color w:val="auto"/>
        </w:rPr>
      </w:pPr>
    </w:p>
    <w:p>
      <w:pPr>
        <w:jc w:val="both"/>
        <w:ind w:firstLine="1513"/>
        <w:spacing w:after="0" w:line="299" w:lineRule="auto"/>
        <w:rPr>
          <w:sz w:val="20"/>
          <w:szCs w:val="20"/>
          <w:color w:val="auto"/>
        </w:rPr>
      </w:pPr>
      <w:r>
        <w:rPr>
          <w:rFonts w:ascii="Arial" w:cs="Arial" w:eastAsia="Arial" w:hAnsi="Arial"/>
          <w:sz w:val="21"/>
          <w:szCs w:val="21"/>
          <w:b w:val="1"/>
          <w:bCs w:val="1"/>
          <w:color w:val="auto"/>
        </w:rPr>
        <w:t>Section 4.4. Opinions of Counsel</w:t>
      </w:r>
      <w:r>
        <w:rPr>
          <w:rFonts w:ascii="Arial" w:cs="Arial" w:eastAsia="Arial" w:hAnsi="Arial"/>
          <w:sz w:val="21"/>
          <w:szCs w:val="21"/>
          <w:color w:val="auto"/>
        </w:rPr>
        <w:t>. Such Purchaser shall have received opinions in form and substance</w:t>
      </w:r>
      <w:r>
        <w:rPr>
          <w:rFonts w:ascii="Arial" w:cs="Arial" w:eastAsia="Arial" w:hAnsi="Arial"/>
          <w:sz w:val="21"/>
          <w:szCs w:val="21"/>
          <w:b w:val="1"/>
          <w:bCs w:val="1"/>
          <w:color w:val="auto"/>
        </w:rPr>
        <w:t xml:space="preserve"> </w:t>
      </w:r>
      <w:r>
        <w:rPr>
          <w:rFonts w:ascii="Arial" w:cs="Arial" w:eastAsia="Arial" w:hAnsi="Arial"/>
          <w:sz w:val="21"/>
          <w:szCs w:val="21"/>
          <w:color w:val="auto"/>
        </w:rPr>
        <w:t>satisfactory to such Purchaser, dated the date of such Closing (a) from (w) Latham &amp; Watkins LLP, special counsel for the Note Parties, covering the matters set forth in Schedule 4.4(a) (w), (x) Venable LLP, Maryland counsel for the Note Parties, covering the matters set forth in Schedule 4.4(a)(x), (y) Wesley Y. S. Chang, Esq., Hawaii counsel for the Note Parties, covering the matters set forth in Schedule 4.4(a)(y) and (z) Adam Wyll, Esq., general counsel for the Note Parties, covering the matters set forth in Schedule 4.4(a)(z), and in each case covering such other customary matters incident to the transactions contemplated hereby as such Purchaser or its counsel may reasonably request (and the Company hereby instructs its counsel to deliver such opinion to the Purchasers) and (b) from Chapman and Cutler LLP, the Purchasers’ special counsel in connection with such transactions, substantially in the form set forth in Schedule 4.4(b) and covering such other customary matters incident to such transactions as such Purchaser may reasonably request.</w:t>
      </w:r>
    </w:p>
    <w:p>
      <w:pPr>
        <w:spacing w:after="0" w:line="206" w:lineRule="exact"/>
        <w:rPr>
          <w:sz w:val="20"/>
          <w:szCs w:val="20"/>
          <w:color w:val="auto"/>
        </w:rPr>
      </w:pPr>
    </w:p>
    <w:p>
      <w:pPr>
        <w:jc w:val="both"/>
        <w:ind w:firstLine="1513"/>
        <w:spacing w:after="0" w:line="304" w:lineRule="auto"/>
        <w:rPr>
          <w:sz w:val="20"/>
          <w:szCs w:val="20"/>
          <w:color w:val="auto"/>
        </w:rPr>
      </w:pPr>
      <w:r>
        <w:rPr>
          <w:rFonts w:ascii="Arial" w:cs="Arial" w:eastAsia="Arial" w:hAnsi="Arial"/>
          <w:sz w:val="21"/>
          <w:szCs w:val="21"/>
          <w:b w:val="1"/>
          <w:bCs w:val="1"/>
          <w:color w:val="auto"/>
        </w:rPr>
        <w:t>Section 4.5. Purchase Permitted By Applicable Law, Etc</w:t>
      </w:r>
      <w:r>
        <w:rPr>
          <w:rFonts w:ascii="Arial" w:cs="Arial" w:eastAsia="Arial" w:hAnsi="Arial"/>
          <w:sz w:val="21"/>
          <w:szCs w:val="21"/>
          <w:color w:val="auto"/>
        </w:rPr>
        <w:t>. On the date of such Closing such Purchaser’s</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 of 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w:t>
      </w:r>
    </w:p>
    <w:p>
      <w:pPr>
        <w:spacing w:after="0" w:line="205"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4</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17" w:name="page18"/>
    <w:bookmarkEnd w:id="17"/>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7" w:lineRule="auto"/>
        <w:rPr>
          <w:sz w:val="20"/>
          <w:szCs w:val="20"/>
          <w:color w:val="auto"/>
        </w:rPr>
      </w:pPr>
      <w:r>
        <w:rPr>
          <w:rFonts w:ascii="Arial" w:cs="Arial" w:eastAsia="Arial" w:hAnsi="Arial"/>
          <w:sz w:val="22"/>
          <w:szCs w:val="22"/>
          <w:color w:val="auto"/>
        </w:rPr>
        <w:t>of the Federal Reserve System) and (c) not subject such Purchaser to any tax, penalty or liability under or pursuant to any applicable law or regulation, which law or regulation was not in effect on the date hereof. If requested by such Purchaser at least ten Business Days prior to the date of such Closing, such Purchaser shall have received an Officer’s Certificate certifying as to such matters of fact as such Purchaser may reasonably specify to enable such Purchaser to determine whether such purchase is so permitted.</w:t>
      </w:r>
    </w:p>
    <w:p>
      <w:pPr>
        <w:spacing w:after="0" w:line="210" w:lineRule="exact"/>
        <w:rPr>
          <w:sz w:val="20"/>
          <w:szCs w:val="20"/>
          <w:color w:val="auto"/>
        </w:rPr>
      </w:pPr>
    </w:p>
    <w:p>
      <w:pPr>
        <w:jc w:val="both"/>
        <w:ind w:firstLine="1513"/>
        <w:spacing w:after="0" w:line="394" w:lineRule="auto"/>
        <w:rPr>
          <w:sz w:val="20"/>
          <w:szCs w:val="20"/>
          <w:color w:val="auto"/>
        </w:rPr>
      </w:pPr>
      <w:r>
        <w:rPr>
          <w:rFonts w:ascii="Arial" w:cs="Arial" w:eastAsia="Arial" w:hAnsi="Arial"/>
          <w:sz w:val="19"/>
          <w:szCs w:val="19"/>
          <w:b w:val="1"/>
          <w:bCs w:val="1"/>
          <w:color w:val="auto"/>
        </w:rPr>
        <w:t>Section 4.6. Sale of Other Notes</w:t>
      </w:r>
      <w:r>
        <w:rPr>
          <w:rFonts w:ascii="Arial" w:cs="Arial" w:eastAsia="Arial" w:hAnsi="Arial"/>
          <w:sz w:val="19"/>
          <w:szCs w:val="19"/>
          <w:color w:val="auto"/>
        </w:rPr>
        <w:t>. Contemporaneously with such Closing the Company shall sell to each other</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and each other Purchaser shall purchase the Notes to be purchased by it at such Closing as specified in Schedule B.</w:t>
      </w:r>
    </w:p>
    <w:p>
      <w:pPr>
        <w:spacing w:after="0" w:line="120" w:lineRule="exact"/>
        <w:rPr>
          <w:sz w:val="20"/>
          <w:szCs w:val="20"/>
          <w:color w:val="auto"/>
        </w:rPr>
      </w:pPr>
    </w:p>
    <w:p>
      <w:pPr>
        <w:jc w:val="both"/>
        <w:ind w:firstLine="1513"/>
        <w:spacing w:after="0" w:line="290" w:lineRule="auto"/>
        <w:rPr>
          <w:sz w:val="20"/>
          <w:szCs w:val="20"/>
          <w:color w:val="auto"/>
        </w:rPr>
      </w:pPr>
      <w:r>
        <w:rPr>
          <w:rFonts w:ascii="Arial" w:cs="Arial" w:eastAsia="Arial" w:hAnsi="Arial"/>
          <w:sz w:val="22"/>
          <w:szCs w:val="22"/>
          <w:b w:val="1"/>
          <w:bCs w:val="1"/>
          <w:color w:val="auto"/>
        </w:rPr>
        <w:t>Section 4.7. Payment of Special Counsel Fees</w:t>
      </w:r>
      <w:r>
        <w:rPr>
          <w:rFonts w:ascii="Arial" w:cs="Arial" w:eastAsia="Arial" w:hAnsi="Arial"/>
          <w:sz w:val="22"/>
          <w:szCs w:val="22"/>
          <w:color w:val="auto"/>
        </w:rPr>
        <w:t>. Without limiting Section 15.1, the Company shall have paid on</w:t>
      </w:r>
      <w:r>
        <w:rPr>
          <w:rFonts w:ascii="Arial" w:cs="Arial" w:eastAsia="Arial" w:hAnsi="Arial"/>
          <w:sz w:val="22"/>
          <w:szCs w:val="22"/>
          <w:b w:val="1"/>
          <w:bCs w:val="1"/>
          <w:color w:val="auto"/>
        </w:rPr>
        <w:t xml:space="preserve"> </w:t>
      </w:r>
      <w:r>
        <w:rPr>
          <w:rFonts w:ascii="Arial" w:cs="Arial" w:eastAsia="Arial" w:hAnsi="Arial"/>
          <w:sz w:val="22"/>
          <w:szCs w:val="22"/>
          <w:color w:val="auto"/>
        </w:rPr>
        <w:t>or before each Closing the reasonable and documented fees, charges and disbursements of the Purchasers’ special counsel referred to in Section 4.4 to the extent reflected in a statement of such counsel rendered to the Company at least two Business Days prior to such Closing.</w:t>
      </w:r>
    </w:p>
    <w:p>
      <w:pPr>
        <w:spacing w:after="0" w:line="209" w:lineRule="exact"/>
        <w:rPr>
          <w:sz w:val="20"/>
          <w:szCs w:val="20"/>
          <w:color w:val="auto"/>
        </w:rPr>
      </w:pPr>
    </w:p>
    <w:p>
      <w:pPr>
        <w:jc w:val="both"/>
        <w:ind w:firstLine="1513"/>
        <w:spacing w:after="0" w:line="308" w:lineRule="auto"/>
        <w:rPr>
          <w:sz w:val="20"/>
          <w:szCs w:val="20"/>
          <w:color w:val="auto"/>
        </w:rPr>
      </w:pPr>
      <w:r>
        <w:rPr>
          <w:rFonts w:ascii="Arial" w:cs="Arial" w:eastAsia="Arial" w:hAnsi="Arial"/>
          <w:sz w:val="22"/>
          <w:szCs w:val="22"/>
          <w:b w:val="1"/>
          <w:bCs w:val="1"/>
          <w:color w:val="auto"/>
        </w:rPr>
        <w:t>Section 4.8. Private Placement Number</w:t>
      </w:r>
      <w:r>
        <w:rPr>
          <w:rFonts w:ascii="Arial" w:cs="Arial" w:eastAsia="Arial" w:hAnsi="Arial"/>
          <w:sz w:val="22"/>
          <w:szCs w:val="22"/>
          <w:color w:val="auto"/>
        </w:rPr>
        <w:t>. A Private Placement Number issued by Standard &amp; Poor’s CUSIP</w:t>
      </w:r>
      <w:r>
        <w:rPr>
          <w:rFonts w:ascii="Arial" w:cs="Arial" w:eastAsia="Arial" w:hAnsi="Arial"/>
          <w:sz w:val="22"/>
          <w:szCs w:val="22"/>
          <w:b w:val="1"/>
          <w:bCs w:val="1"/>
          <w:color w:val="auto"/>
        </w:rPr>
        <w:t xml:space="preserve"> </w:t>
      </w:r>
      <w:r>
        <w:rPr>
          <w:rFonts w:ascii="Arial" w:cs="Arial" w:eastAsia="Arial" w:hAnsi="Arial"/>
          <w:sz w:val="22"/>
          <w:szCs w:val="22"/>
          <w:color w:val="auto"/>
        </w:rPr>
        <w:t>Service Bureau (in cooperation with the SVO) shall have been obtained for each series of Notes.</w:t>
      </w:r>
    </w:p>
    <w:p>
      <w:pPr>
        <w:spacing w:after="0" w:line="188" w:lineRule="exact"/>
        <w:rPr>
          <w:sz w:val="20"/>
          <w:szCs w:val="20"/>
          <w:color w:val="auto"/>
        </w:rPr>
      </w:pPr>
    </w:p>
    <w:p>
      <w:pPr>
        <w:jc w:val="both"/>
        <w:ind w:firstLine="1513"/>
        <w:spacing w:after="0" w:line="360" w:lineRule="auto"/>
        <w:rPr>
          <w:sz w:val="20"/>
          <w:szCs w:val="20"/>
          <w:color w:val="auto"/>
        </w:rPr>
      </w:pPr>
      <w:r>
        <w:rPr>
          <w:rFonts w:ascii="Arial" w:cs="Arial" w:eastAsia="Arial" w:hAnsi="Arial"/>
          <w:sz w:val="19"/>
          <w:szCs w:val="19"/>
          <w:b w:val="1"/>
          <w:bCs w:val="1"/>
          <w:color w:val="auto"/>
        </w:rPr>
        <w:t>Section 4.9. Changes in Structure</w:t>
      </w:r>
      <w:r>
        <w:rPr>
          <w:rFonts w:ascii="Arial" w:cs="Arial" w:eastAsia="Arial" w:hAnsi="Arial"/>
          <w:sz w:val="19"/>
          <w:szCs w:val="19"/>
          <w:color w:val="auto"/>
        </w:rPr>
        <w:t>. No Note Party shall have changed its jurisdiction of incorporation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organization, as applicable, or been a party to any merger or consolidation or succeeded to all or any substantial part of the liabilities of any other entity, at any time following the date of the most recent financial statements referred to in Schedule 5.5.</w:t>
      </w:r>
    </w:p>
    <w:p>
      <w:pPr>
        <w:spacing w:after="0" w:line="151" w:lineRule="exact"/>
        <w:rPr>
          <w:sz w:val="20"/>
          <w:szCs w:val="20"/>
          <w:color w:val="auto"/>
        </w:rPr>
      </w:pPr>
    </w:p>
    <w:p>
      <w:pPr>
        <w:jc w:val="both"/>
        <w:ind w:firstLine="1513"/>
        <w:spacing w:after="0" w:line="349" w:lineRule="auto"/>
        <w:rPr>
          <w:sz w:val="20"/>
          <w:szCs w:val="20"/>
          <w:color w:val="auto"/>
        </w:rPr>
      </w:pPr>
      <w:r>
        <w:rPr>
          <w:rFonts w:ascii="Arial" w:cs="Arial" w:eastAsia="Arial" w:hAnsi="Arial"/>
          <w:sz w:val="19"/>
          <w:szCs w:val="19"/>
          <w:b w:val="1"/>
          <w:bCs w:val="1"/>
          <w:color w:val="auto"/>
        </w:rPr>
        <w:t>Section 4.10. Funding Instructions</w:t>
      </w:r>
      <w:r>
        <w:rPr>
          <w:rFonts w:ascii="Arial" w:cs="Arial" w:eastAsia="Arial" w:hAnsi="Arial"/>
          <w:sz w:val="19"/>
          <w:szCs w:val="19"/>
          <w:color w:val="auto"/>
        </w:rPr>
        <w:t>. At least three Business Days prior to the date of such Closing, each</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shall have received written instructions signed by a Responsible Officer on letterhead of the Company confirming the information specified in Section 3 including (i) the name and address of the transferee bank, (ii) such transferee bank’s ABA number and (iii) the account name and number into which the purchase price for the Notes is to be deposited.</w:t>
      </w:r>
    </w:p>
    <w:p>
      <w:pPr>
        <w:spacing w:after="0" w:line="161" w:lineRule="exact"/>
        <w:rPr>
          <w:sz w:val="20"/>
          <w:szCs w:val="20"/>
          <w:color w:val="auto"/>
        </w:rPr>
      </w:pPr>
    </w:p>
    <w:p>
      <w:pPr>
        <w:jc w:val="both"/>
        <w:ind w:firstLine="1513"/>
        <w:spacing w:after="0" w:line="288" w:lineRule="auto"/>
        <w:rPr>
          <w:sz w:val="20"/>
          <w:szCs w:val="20"/>
          <w:color w:val="auto"/>
        </w:rPr>
      </w:pPr>
      <w:r>
        <w:rPr>
          <w:rFonts w:ascii="Arial" w:cs="Arial" w:eastAsia="Arial" w:hAnsi="Arial"/>
          <w:sz w:val="22"/>
          <w:szCs w:val="22"/>
          <w:b w:val="1"/>
          <w:bCs w:val="1"/>
          <w:color w:val="auto"/>
        </w:rPr>
        <w:t>Section 4.11. Proceedings and Documents</w:t>
      </w:r>
      <w:r>
        <w:rPr>
          <w:rFonts w:ascii="Arial" w:cs="Arial" w:eastAsia="Arial" w:hAnsi="Arial"/>
          <w:sz w:val="22"/>
          <w:szCs w:val="22"/>
          <w:color w:val="auto"/>
        </w:rPr>
        <w:t>. All corporate, limited partnership, limited liability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other proceedings in connection with the 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217"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5</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18" w:name="page19"/>
    <w:bookmarkEnd w:id="18"/>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1513"/>
        <w:spacing w:after="0" w:line="308" w:lineRule="auto"/>
        <w:rPr>
          <w:sz w:val="20"/>
          <w:szCs w:val="20"/>
          <w:color w:val="auto"/>
        </w:rPr>
      </w:pPr>
      <w:r>
        <w:rPr>
          <w:rFonts w:ascii="Arial" w:cs="Arial" w:eastAsia="Arial" w:hAnsi="Arial"/>
          <w:sz w:val="22"/>
          <w:szCs w:val="22"/>
          <w:b w:val="1"/>
          <w:bCs w:val="1"/>
          <w:color w:val="auto"/>
        </w:rPr>
        <w:t>Section 4.12. Affiliate Guaranty</w:t>
      </w:r>
      <w:r>
        <w:rPr>
          <w:rFonts w:ascii="Arial" w:cs="Arial" w:eastAsia="Arial" w:hAnsi="Arial"/>
          <w:sz w:val="22"/>
          <w:szCs w:val="22"/>
          <w:color w:val="auto"/>
        </w:rPr>
        <w:t>. The Affiliate Guaranty shall have been executed and delivered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Guarantors and shall be in full force and effect.</w:t>
      </w:r>
    </w:p>
    <w:p>
      <w:pPr>
        <w:spacing w:after="0" w:line="188" w:lineRule="exact"/>
        <w:rPr>
          <w:sz w:val="20"/>
          <w:szCs w:val="20"/>
          <w:color w:val="auto"/>
        </w:rPr>
      </w:pPr>
    </w:p>
    <w:p>
      <w:pPr>
        <w:jc w:val="both"/>
        <w:ind w:firstLine="1513"/>
        <w:spacing w:after="0" w:line="334" w:lineRule="auto"/>
        <w:rPr>
          <w:sz w:val="20"/>
          <w:szCs w:val="20"/>
          <w:color w:val="auto"/>
        </w:rPr>
      </w:pPr>
      <w:r>
        <w:rPr>
          <w:rFonts w:ascii="Arial" w:cs="Arial" w:eastAsia="Arial" w:hAnsi="Arial"/>
          <w:sz w:val="21"/>
          <w:szCs w:val="21"/>
          <w:b w:val="1"/>
          <w:bCs w:val="1"/>
          <w:color w:val="auto"/>
        </w:rPr>
        <w:t>Section 4.13. Primary Credit Facility Consent</w:t>
      </w:r>
      <w:r>
        <w:rPr>
          <w:rFonts w:ascii="Arial" w:cs="Arial" w:eastAsia="Arial" w:hAnsi="Arial"/>
          <w:sz w:val="21"/>
          <w:szCs w:val="21"/>
          <w:color w:val="auto"/>
        </w:rPr>
        <w:t>. The Company shall have obtained any consent required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Primary Credit Facility to permit the consummation of the transactions contemplated by this Agreement.</w:t>
      </w:r>
    </w:p>
    <w:p>
      <w:pPr>
        <w:spacing w:after="0" w:line="165" w:lineRule="exact"/>
        <w:rPr>
          <w:sz w:val="20"/>
          <w:szCs w:val="20"/>
          <w:color w:val="auto"/>
        </w:rPr>
      </w:pPr>
    </w:p>
    <w:p>
      <w:pPr>
        <w:jc w:val="both"/>
        <w:ind w:firstLine="1513"/>
        <w:spacing w:after="0" w:line="308" w:lineRule="auto"/>
        <w:rPr>
          <w:sz w:val="20"/>
          <w:szCs w:val="20"/>
          <w:color w:val="auto"/>
        </w:rPr>
      </w:pPr>
      <w:r>
        <w:rPr>
          <w:rFonts w:ascii="Arial" w:cs="Arial" w:eastAsia="Arial" w:hAnsi="Arial"/>
          <w:sz w:val="22"/>
          <w:szCs w:val="22"/>
          <w:b w:val="1"/>
          <w:bCs w:val="1"/>
          <w:color w:val="auto"/>
        </w:rPr>
        <w:t>Section 4.14. Completion of Closings</w:t>
      </w:r>
      <w:r>
        <w:rPr>
          <w:rFonts w:ascii="Arial" w:cs="Arial" w:eastAsia="Arial" w:hAnsi="Arial"/>
          <w:sz w:val="22"/>
          <w:szCs w:val="22"/>
          <w:color w:val="auto"/>
        </w:rPr>
        <w:t>. It shall be a condition to each Closing (with the exception of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Closing) that each preceding Closing shall have occurred.</w:t>
      </w:r>
    </w:p>
    <w:p>
      <w:pPr>
        <w:spacing w:after="0" w:line="210"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1"/>
          <w:szCs w:val="21"/>
          <w:b w:val="1"/>
          <w:bCs w:val="1"/>
          <w:color w:val="auto"/>
        </w:rPr>
        <w:t>REPRESENTATIONS AND WARRANTIES OF THE COMPANY</w:t>
      </w:r>
      <w:r>
        <w:rPr>
          <w:rFonts w:ascii="Arial" w:cs="Arial" w:eastAsia="Arial" w:hAnsi="Arial"/>
          <w:sz w:val="21"/>
          <w:szCs w:val="21"/>
          <w:color w:val="auto"/>
        </w:rPr>
        <w:t>.</w:t>
      </w:r>
      <w:r>
        <w:rPr>
          <w:rFonts w:ascii="Arial" w:cs="Arial" w:eastAsia="Arial" w:hAnsi="Arial"/>
          <w:sz w:val="27"/>
          <w:szCs w:val="27"/>
          <w:color w:val="auto"/>
          <w:vertAlign w:val="superscript"/>
        </w:rPr>
        <w: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represents and warrants to each Purchaser on the date hereof and at each Closing that:</w:t>
      </w:r>
    </w:p>
    <w:p>
      <w:pPr>
        <w:spacing w:after="0" w:line="281" w:lineRule="exact"/>
        <w:rPr>
          <w:sz w:val="20"/>
          <w:szCs w:val="20"/>
          <w:color w:val="auto"/>
        </w:rPr>
      </w:pPr>
    </w:p>
    <w:p>
      <w:pPr>
        <w:jc w:val="both"/>
        <w:ind w:firstLine="1513"/>
        <w:spacing w:after="0" w:line="299" w:lineRule="auto"/>
        <w:rPr>
          <w:sz w:val="20"/>
          <w:szCs w:val="20"/>
          <w:color w:val="auto"/>
        </w:rPr>
      </w:pPr>
      <w:r>
        <w:rPr>
          <w:rFonts w:ascii="Arial" w:cs="Arial" w:eastAsia="Arial" w:hAnsi="Arial"/>
          <w:sz w:val="21"/>
          <w:szCs w:val="21"/>
          <w:b w:val="1"/>
          <w:bCs w:val="1"/>
          <w:color w:val="auto"/>
        </w:rPr>
        <w:t>Section 5.1. Organization; Power and Authority</w:t>
      </w:r>
      <w:r>
        <w:rPr>
          <w:rFonts w:ascii="Arial" w:cs="Arial" w:eastAsia="Arial" w:hAnsi="Arial"/>
          <w:sz w:val="21"/>
          <w:szCs w:val="21"/>
          <w:color w:val="auto"/>
        </w:rPr>
        <w:t>. Each Note Party and each of its Subsidiaries is an entity</w:t>
      </w:r>
      <w:r>
        <w:rPr>
          <w:rFonts w:ascii="Arial" w:cs="Arial" w:eastAsia="Arial" w:hAnsi="Arial"/>
          <w:sz w:val="21"/>
          <w:szCs w:val="21"/>
          <w:b w:val="1"/>
          <w:bCs w:val="1"/>
          <w:color w:val="auto"/>
        </w:rPr>
        <w:t xml:space="preserve"> </w:t>
      </w:r>
      <w:r>
        <w:rPr>
          <w:rFonts w:ascii="Arial" w:cs="Arial" w:eastAsia="Arial" w:hAnsi="Arial"/>
          <w:sz w:val="21"/>
          <w:szCs w:val="21"/>
          <w:color w:val="auto"/>
        </w:rPr>
        <w:t>duly organized or formed, validly existing and, as applicable, in good standing under the laws of its jurisdiction of incorporation or organization, and is duly qualified as a foreign entity and, as applicable, is in good standing in each jurisdiction in which such qualification is required by law, other than those jurisdictions as to which the failure to be so qualified or, as applicable, in good standing could not, individually or in the aggregate, reasonably be expected to have a Material Adverse Effect. Each Note Party and each of its Subsidiaries has all requisite power and authority, as the case may be, (a) to own or hold under lease the properties it purports to own or hold under lease and to transact the business it transacts and proposes to transact and (b) to execute and deliver the Note Documents to which each is a party and to perform the provisions hereof and thereof, except in each case referred to in clause (a), to the extent that failure to do so could not, individually or in the aggregate, reasonably be expected to have a Material Adverse Effect.</w:t>
      </w:r>
    </w:p>
    <w:p>
      <w:pPr>
        <w:spacing w:after="0" w:line="206" w:lineRule="exact"/>
        <w:rPr>
          <w:sz w:val="20"/>
          <w:szCs w:val="20"/>
          <w:color w:val="auto"/>
        </w:rPr>
      </w:pPr>
    </w:p>
    <w:p>
      <w:pPr>
        <w:jc w:val="both"/>
        <w:ind w:firstLine="1513"/>
        <w:spacing w:after="0" w:line="301" w:lineRule="auto"/>
        <w:rPr>
          <w:sz w:val="20"/>
          <w:szCs w:val="20"/>
          <w:color w:val="auto"/>
        </w:rPr>
      </w:pPr>
      <w:r>
        <w:rPr>
          <w:rFonts w:ascii="Arial" w:cs="Arial" w:eastAsia="Arial" w:hAnsi="Arial"/>
          <w:sz w:val="21"/>
          <w:szCs w:val="21"/>
          <w:b w:val="1"/>
          <w:bCs w:val="1"/>
          <w:color w:val="auto"/>
        </w:rPr>
        <w:t>Section 5.2. Authorization, Etc</w:t>
      </w:r>
      <w:r>
        <w:rPr>
          <w:rFonts w:ascii="Arial" w:cs="Arial" w:eastAsia="Arial" w:hAnsi="Arial"/>
          <w:sz w:val="21"/>
          <w:szCs w:val="21"/>
          <w:color w:val="auto"/>
        </w:rPr>
        <w:t>. Each Note Document has been duly authorized by all necessary corporate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organizational action, as the case may be, on the part of each Note Party party thereto, and each Note Document (excluding the Notes) constitutes, and upon execution and delivery thereof each Note will constitute, a legal, valid and binding obligation of each Note Party party thereto enforceable against each such Note Party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209"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6</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19" w:name="page20"/>
    <w:bookmarkEnd w:id="19"/>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1513"/>
        <w:spacing w:after="0" w:line="331" w:lineRule="auto"/>
        <w:rPr>
          <w:sz w:val="20"/>
          <w:szCs w:val="20"/>
          <w:color w:val="auto"/>
        </w:rPr>
      </w:pPr>
      <w:r>
        <w:rPr>
          <w:rFonts w:ascii="Arial" w:cs="Arial" w:eastAsia="Arial" w:hAnsi="Arial"/>
          <w:sz w:val="19"/>
          <w:szCs w:val="19"/>
          <w:b w:val="1"/>
          <w:bCs w:val="1"/>
          <w:color w:val="auto"/>
        </w:rPr>
        <w:t>Section 5.3. Disclosure</w:t>
      </w:r>
      <w:r>
        <w:rPr>
          <w:rFonts w:ascii="Arial" w:cs="Arial" w:eastAsia="Arial" w:hAnsi="Arial"/>
          <w:sz w:val="19"/>
          <w:szCs w:val="19"/>
          <w:color w:val="auto"/>
        </w:rPr>
        <w:t>. The Company, through its agent, Merrill Lynch, Pierce, Fenner and Smith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Incorporated, has delivered to each Purchaser a copy of a Private Placement Memorandum, dated September 2014 (the </w:t>
      </w:r>
      <w:r>
        <w:rPr>
          <w:rFonts w:ascii="Arial" w:cs="Arial" w:eastAsia="Arial" w:hAnsi="Arial"/>
          <w:sz w:val="19"/>
          <w:szCs w:val="19"/>
          <w:b w:val="1"/>
          <w:bCs w:val="1"/>
          <w:color w:val="auto"/>
        </w:rPr>
        <w:t>“Memorandum”</w:t>
      </w:r>
      <w:r>
        <w:rPr>
          <w:rFonts w:ascii="Arial" w:cs="Arial" w:eastAsia="Arial" w:hAnsi="Arial"/>
          <w:sz w:val="19"/>
          <w:szCs w:val="19"/>
          <w:color w:val="auto"/>
        </w:rPr>
        <w:t>), relating to the transactions contemplated hereby. The Memorandum fairly describes, in all material respects,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general nature of the business and principal properties of the Note Parties and their Subsidiaries. This Agreement, the Memorandum, the financial statements listed in Schedule 5.5 and the documents, certificates or other writings delivered to the Purchasers by or on behalf of the Company prior to September 19, 2014 in connection with the transactions contemplated hereby and identified in Schedule 5.3 (this Agreement, the Memorandum and such documents, certificates or other writings and such financial statements delivered to each Purchaser being referred to, collectively, as the </w:t>
      </w:r>
      <w:r>
        <w:rPr>
          <w:rFonts w:ascii="Arial" w:cs="Arial" w:eastAsia="Arial" w:hAnsi="Arial"/>
          <w:sz w:val="19"/>
          <w:szCs w:val="19"/>
          <w:b w:val="1"/>
          <w:bCs w:val="1"/>
          <w:color w:val="auto"/>
        </w:rPr>
        <w:t>“Disclosure Documents”</w:t>
      </w:r>
      <w:r>
        <w:rPr>
          <w:rFonts w:ascii="Arial" w:cs="Arial" w:eastAsia="Arial" w:hAnsi="Arial"/>
          <w:sz w:val="19"/>
          <w:szCs w:val="19"/>
          <w:color w:val="auto"/>
        </w:rPr>
        <w:t>), taken as a whole, do not contain any untrue statement of a material fact or omit to state any material fact necessary to make the statements therein not misleading in light of the circumstances under which they were made; provided that, with respect to projections, estimates and other forward-looking information, the Company and the other Note Parties represent only that such information was prepared in good faith based upon assumptions believed to be reasonable at the time. Except as disclosed in the Disclosure Documents, since December 31, 2013, there has been no change in the financial condition, operations, business or properties of any Note Party or any Subsidiary except changes that could not, individually or in the aggregate, reasonably be expected to have a Material Adverse Effect. There is no fact known to any Note Party that could reasonably be expected to have a Material Adverse Effect that has not been set forth herein or in the Disclosure Documents.</w:t>
      </w:r>
    </w:p>
    <w:p>
      <w:pPr>
        <w:spacing w:after="0" w:line="200" w:lineRule="exact"/>
        <w:rPr>
          <w:sz w:val="20"/>
          <w:szCs w:val="20"/>
          <w:color w:val="auto"/>
        </w:rPr>
      </w:pPr>
    </w:p>
    <w:p>
      <w:pPr>
        <w:spacing w:after="0" w:line="277" w:lineRule="exact"/>
        <w:rPr>
          <w:sz w:val="20"/>
          <w:szCs w:val="20"/>
          <w:color w:val="auto"/>
        </w:rPr>
      </w:pPr>
    </w:p>
    <w:p>
      <w:pPr>
        <w:jc w:val="both"/>
        <w:ind w:firstLine="1513"/>
        <w:spacing w:after="0" w:line="327" w:lineRule="auto"/>
        <w:rPr>
          <w:sz w:val="20"/>
          <w:szCs w:val="20"/>
          <w:color w:val="auto"/>
        </w:rPr>
      </w:pPr>
      <w:r>
        <w:rPr>
          <w:rFonts w:ascii="Arial" w:cs="Arial" w:eastAsia="Arial" w:hAnsi="Arial"/>
          <w:sz w:val="19"/>
          <w:szCs w:val="19"/>
          <w:b w:val="1"/>
          <w:bCs w:val="1"/>
          <w:color w:val="auto"/>
        </w:rPr>
        <w:t xml:space="preserve">Section 5.4. Organization and Ownership of Shares of Subsidiaries; Affiliates </w:t>
      </w:r>
      <w:r>
        <w:rPr>
          <w:rFonts w:ascii="Arial" w:cs="Arial" w:eastAsia="Arial" w:hAnsi="Arial"/>
          <w:sz w:val="19"/>
          <w:szCs w:val="19"/>
          <w:color w:val="auto"/>
        </w:rPr>
        <w:t>. (a) Schedule 5.4 contains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noted therein) as of the date hereof complete and correct lists of each Note Party’s Subsidiaries, showing, as to each Subsidiary, the name thereof, the jurisdiction of its organization, and the percentage of shares of each class of its capital stock or similar equity interests outstanding owned by a Note Party and each other Subsidiary since which date there has been no Material change (except, in connection with the Second Closing and Third Closing, for changes reasonably satisfactory to the Purchasers in such Second Closing or such Third Closing as the case may be which (i) are permitted under Sections 9 and 10 this Agreement and</w:t>
      </w:r>
    </w:p>
    <w:p>
      <w:pPr>
        <w:spacing w:after="0" w:line="3"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could not individually or in the aggregate, reasonably be expected to have a Material Adverse Effect).</w:t>
      </w:r>
    </w:p>
    <w:p>
      <w:pPr>
        <w:spacing w:after="0" w:line="287" w:lineRule="exact"/>
        <w:rPr>
          <w:rFonts w:ascii="Arial" w:cs="Arial" w:eastAsia="Arial" w:hAnsi="Arial"/>
          <w:sz w:val="22"/>
          <w:szCs w:val="22"/>
          <w:color w:val="auto"/>
        </w:rPr>
      </w:pPr>
    </w:p>
    <w:p>
      <w:pPr>
        <w:jc w:val="both"/>
        <w:ind w:firstLine="832"/>
        <w:spacing w:after="0" w:line="311" w:lineRule="auto"/>
        <w:tabs>
          <w:tab w:leader="none" w:pos="1299" w:val="left"/>
        </w:tabs>
        <w:numPr>
          <w:ilvl w:val="1"/>
          <w:numId w:val="9"/>
        </w:numPr>
        <w:rPr>
          <w:rFonts w:ascii="Arial" w:cs="Arial" w:eastAsia="Arial" w:hAnsi="Arial"/>
          <w:sz w:val="21"/>
          <w:szCs w:val="21"/>
          <w:color w:val="auto"/>
        </w:rPr>
      </w:pPr>
      <w:r>
        <w:rPr>
          <w:rFonts w:ascii="Arial" w:cs="Arial" w:eastAsia="Arial" w:hAnsi="Arial"/>
          <w:sz w:val="21"/>
          <w:szCs w:val="21"/>
          <w:color w:val="auto"/>
        </w:rPr>
        <w:t>All of the outstanding shares of capital stock or similar equity interests of each Subsidiary shown in Schedule 5.4 as being owned by a Note Party and its Subsidiaries have been validly issued, are fully paid and non-assessable and are owned by such Note Party or another Subsidiary free and clear of any Lien that is prohibited by this Agreement.</w:t>
      </w:r>
    </w:p>
    <w:p>
      <w:pPr>
        <w:spacing w:after="0" w:line="195" w:lineRule="exact"/>
        <w:rPr>
          <w:rFonts w:ascii="Arial" w:cs="Arial" w:eastAsia="Arial" w:hAnsi="Arial"/>
          <w:sz w:val="21"/>
          <w:szCs w:val="21"/>
          <w:color w:val="auto"/>
        </w:rPr>
      </w:pPr>
    </w:p>
    <w:p>
      <w:pPr>
        <w:ind w:right="20" w:firstLine="832"/>
        <w:spacing w:after="0" w:line="302" w:lineRule="auto"/>
        <w:tabs>
          <w:tab w:leader="none" w:pos="1293" w:val="left"/>
        </w:tabs>
        <w:numPr>
          <w:ilvl w:val="1"/>
          <w:numId w:val="9"/>
        </w:numPr>
        <w:rPr>
          <w:rFonts w:ascii="Arial" w:cs="Arial" w:eastAsia="Arial" w:hAnsi="Arial"/>
          <w:sz w:val="22"/>
          <w:szCs w:val="22"/>
          <w:color w:val="auto"/>
        </w:rPr>
      </w:pPr>
      <w:r>
        <w:rPr>
          <w:rFonts w:ascii="Arial" w:cs="Arial" w:eastAsia="Arial" w:hAnsi="Arial"/>
          <w:sz w:val="22"/>
          <w:szCs w:val="22"/>
          <w:color w:val="auto"/>
        </w:rPr>
        <w:t>Each Subsidiary is a corporation or other legal entity duly organized, validly existing and, where applicable, in good standing under the laws of its jurisdiction of organization, and is</w:t>
      </w:r>
    </w:p>
    <w:p>
      <w:pPr>
        <w:spacing w:after="0" w:line="201"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7</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20" w:name="page21"/>
    <w:bookmarkEnd w:id="20"/>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7" w:lineRule="auto"/>
        <w:rPr>
          <w:sz w:val="20"/>
          <w:szCs w:val="20"/>
          <w:color w:val="auto"/>
        </w:rPr>
      </w:pPr>
      <w:r>
        <w:rPr>
          <w:rFonts w:ascii="Arial" w:cs="Arial" w:eastAsia="Arial" w:hAnsi="Arial"/>
          <w:sz w:val="22"/>
          <w:szCs w:val="22"/>
          <w:color w:val="auto"/>
        </w:rPr>
        <w:t>duly qualified as a foreign corporation or other legal entity and, where applicable,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216" w:lineRule="exact"/>
        <w:rPr>
          <w:sz w:val="20"/>
          <w:szCs w:val="20"/>
          <w:color w:val="auto"/>
        </w:rPr>
      </w:pPr>
    </w:p>
    <w:p>
      <w:pPr>
        <w:jc w:val="both"/>
        <w:ind w:firstLine="832"/>
        <w:spacing w:after="0" w:line="287" w:lineRule="auto"/>
        <w:tabs>
          <w:tab w:leader="none" w:pos="131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 Subsidiary is subject to any legal, regulatory, contractual or other restriction (other than the agreements listed on Schedule 5.4, customary limitations imposed by corporate law or similar statutes and limitations imposed by the terms of any agreements governing Nonrecourse Indebtedness) restricting the ability of such Subsidiary to pay dividends out of profits or make any other similar distributions of profits to the Note Parties or any of their Subsidiaries that owns outstanding shares of capital stock or similar equity interests of such Subsidiary.</w:t>
      </w:r>
    </w:p>
    <w:p>
      <w:pPr>
        <w:spacing w:after="0" w:line="210" w:lineRule="exact"/>
        <w:rPr>
          <w:sz w:val="20"/>
          <w:szCs w:val="20"/>
          <w:color w:val="auto"/>
        </w:rPr>
      </w:pPr>
    </w:p>
    <w:p>
      <w:pPr>
        <w:jc w:val="both"/>
        <w:ind w:firstLine="1513"/>
        <w:spacing w:after="0" w:line="336" w:lineRule="auto"/>
        <w:rPr>
          <w:sz w:val="20"/>
          <w:szCs w:val="20"/>
          <w:color w:val="auto"/>
        </w:rPr>
      </w:pPr>
      <w:r>
        <w:rPr>
          <w:rFonts w:ascii="Arial" w:cs="Arial" w:eastAsia="Arial" w:hAnsi="Arial"/>
          <w:sz w:val="19"/>
          <w:szCs w:val="19"/>
          <w:b w:val="1"/>
          <w:bCs w:val="1"/>
          <w:color w:val="auto"/>
        </w:rPr>
        <w:t>Section 5.5. Financial Statements; Material Liabilities</w:t>
      </w:r>
      <w:r>
        <w:rPr>
          <w:rFonts w:ascii="Arial" w:cs="Arial" w:eastAsia="Arial" w:hAnsi="Arial"/>
          <w:sz w:val="19"/>
          <w:szCs w:val="19"/>
          <w:color w:val="auto"/>
        </w:rPr>
        <w:t>. The Company has delivered to each Purchaser copies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financial statements of the Consolidated Group listed on Schedule 5.5. All of such financial statements (including in each case the related schedules and notes) fairly present in all material respects the consolidated financial position of the Consolidated Group as of the respective dates specified in such Schedule and the consolidated results of their operations, cash flows and changes in shareholders’ equity for the respective periods so specified and have been prepared in accordance with GAAP consistently applied throughout the periods involved except as set forth in the notes thereto (subject, in the case of any interim financial statements, to normal year-end adjustments and the absence of footnotes). The Consolidated Group does not have any Material liabilities that are not disclosed in the Disclosure Documents.</w:t>
      </w:r>
    </w:p>
    <w:p>
      <w:pPr>
        <w:spacing w:after="0" w:line="173" w:lineRule="exact"/>
        <w:rPr>
          <w:sz w:val="20"/>
          <w:szCs w:val="20"/>
          <w:color w:val="auto"/>
        </w:rPr>
      </w:pPr>
    </w:p>
    <w:p>
      <w:pPr>
        <w:jc w:val="both"/>
        <w:ind w:firstLine="1513"/>
        <w:spacing w:after="0" w:line="334" w:lineRule="auto"/>
        <w:rPr>
          <w:sz w:val="20"/>
          <w:szCs w:val="20"/>
          <w:color w:val="auto"/>
        </w:rPr>
      </w:pPr>
      <w:r>
        <w:rPr>
          <w:rFonts w:ascii="Arial" w:cs="Arial" w:eastAsia="Arial" w:hAnsi="Arial"/>
          <w:sz w:val="19"/>
          <w:szCs w:val="19"/>
          <w:b w:val="1"/>
          <w:bCs w:val="1"/>
          <w:color w:val="auto"/>
        </w:rPr>
        <w:t>Section 5.6. Compliance with Laws, Other Instruments, Etc</w:t>
      </w:r>
      <w:r>
        <w:rPr>
          <w:rFonts w:ascii="Arial" w:cs="Arial" w:eastAsia="Arial" w:hAnsi="Arial"/>
          <w:sz w:val="19"/>
          <w:szCs w:val="19"/>
          <w:color w:val="auto"/>
        </w:rPr>
        <w:t>. The execution, delivery and performance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Note Parties of each Note Document to which they are a party will not (i) contravene, result in any breach of, or constitute a default under, or result in the creation of any Lien in respect of any property of any Note Party or any of its Subsidiaries under, any indenture, mortgage, deed of trust, loan, purchase or credit agreement, lease, corporate charter or by-laws, shareholders agreement or any other agreement or instrument to which a Note Party or any of its Subsidiaries is bound or by which any Note Party or any of its Subsidiaries or any of their respective properties may be bound or affected, (ii) conflict with or result in a breach of any of the terms, conditions or provisions of any order, judgment, decree or ruling of any court, arbitrator or Governmental Authority applicable to any Note Party or any Subsidiary or (iii) violate any provision of any statute or other rule or regulation of any Governmental Authority applicable to any Note Party or any of its Subsidiaries.</w:t>
      </w:r>
    </w:p>
    <w:p>
      <w:pPr>
        <w:spacing w:after="0" w:line="187"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8</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21" w:name="page22"/>
    <w:bookmarkEnd w:id="21"/>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1513"/>
        <w:spacing w:after="0" w:line="349" w:lineRule="auto"/>
        <w:rPr>
          <w:sz w:val="20"/>
          <w:szCs w:val="20"/>
          <w:color w:val="auto"/>
        </w:rPr>
      </w:pPr>
      <w:r>
        <w:rPr>
          <w:rFonts w:ascii="Arial" w:cs="Arial" w:eastAsia="Arial" w:hAnsi="Arial"/>
          <w:sz w:val="19"/>
          <w:szCs w:val="19"/>
          <w:b w:val="1"/>
          <w:bCs w:val="1"/>
          <w:color w:val="auto"/>
        </w:rPr>
        <w:t>Section 5.7. Governmental Authorizations, Etc</w:t>
      </w:r>
      <w:r>
        <w:rPr>
          <w:rFonts w:ascii="Arial" w:cs="Arial" w:eastAsia="Arial" w:hAnsi="Arial"/>
          <w:sz w:val="19"/>
          <w:szCs w:val="19"/>
          <w:color w:val="auto"/>
        </w:rPr>
        <w:t>. No consent, approval or authorization of, or registration,</w:t>
      </w:r>
      <w:r>
        <w:rPr>
          <w:rFonts w:ascii="Arial" w:cs="Arial" w:eastAsia="Arial" w:hAnsi="Arial"/>
          <w:sz w:val="19"/>
          <w:szCs w:val="19"/>
          <w:b w:val="1"/>
          <w:bCs w:val="1"/>
          <w:color w:val="auto"/>
        </w:rPr>
        <w:t xml:space="preserve"> </w:t>
      </w:r>
      <w:r>
        <w:rPr>
          <w:rFonts w:ascii="Arial" w:cs="Arial" w:eastAsia="Arial" w:hAnsi="Arial"/>
          <w:sz w:val="19"/>
          <w:szCs w:val="19"/>
          <w:color w:val="auto"/>
        </w:rPr>
        <w:t>filing or declaration with, any Governmental Authority is required in connection with the execution, delivery or performance by any Note Party of any Note Document to which they are a party, except for consents, approvals, authorizations, registrations, filings and declarations which have been duly obtained, taken, given or made and are in full force and effect.</w:t>
      </w:r>
    </w:p>
    <w:p>
      <w:pPr>
        <w:spacing w:after="0" w:line="161" w:lineRule="exact"/>
        <w:rPr>
          <w:sz w:val="20"/>
          <w:szCs w:val="20"/>
          <w:color w:val="auto"/>
        </w:rPr>
      </w:pPr>
    </w:p>
    <w:p>
      <w:pPr>
        <w:jc w:val="both"/>
        <w:ind w:firstLine="1513"/>
        <w:spacing w:after="0" w:line="288" w:lineRule="auto"/>
        <w:rPr>
          <w:sz w:val="20"/>
          <w:szCs w:val="20"/>
          <w:color w:val="auto"/>
        </w:rPr>
      </w:pPr>
      <w:r>
        <w:rPr>
          <w:rFonts w:ascii="Arial" w:cs="Arial" w:eastAsia="Arial" w:hAnsi="Arial"/>
          <w:sz w:val="22"/>
          <w:szCs w:val="22"/>
          <w:b w:val="1"/>
          <w:bCs w:val="1"/>
          <w:color w:val="auto"/>
        </w:rPr>
        <w:t>Section 5.8. Litigation; Observance of Agreements, Statutes and Orders</w:t>
      </w:r>
      <w:r>
        <w:rPr>
          <w:rFonts w:ascii="Arial" w:cs="Arial" w:eastAsia="Arial" w:hAnsi="Arial"/>
          <w:sz w:val="22"/>
          <w:szCs w:val="22"/>
          <w:color w:val="auto"/>
        </w:rPr>
        <w:t>. (a) There are no actions, suits,</w:t>
      </w:r>
      <w:r>
        <w:rPr>
          <w:rFonts w:ascii="Arial" w:cs="Arial" w:eastAsia="Arial" w:hAnsi="Arial"/>
          <w:sz w:val="22"/>
          <w:szCs w:val="22"/>
          <w:b w:val="1"/>
          <w:bCs w:val="1"/>
          <w:color w:val="auto"/>
        </w:rPr>
        <w:t xml:space="preserve"> </w:t>
      </w:r>
      <w:r>
        <w:rPr>
          <w:rFonts w:ascii="Arial" w:cs="Arial" w:eastAsia="Arial" w:hAnsi="Arial"/>
          <w:sz w:val="22"/>
          <w:szCs w:val="22"/>
          <w:color w:val="auto"/>
        </w:rPr>
        <w:t>investigations or proceedings pending or, to the best knowledge of the Company, threatened in writing against or affecting any Note Party or any Subsidiary or any property of any Note Party or any Subsidiary in any court or before any arbitrator of any kind or before or by any Governmental Authority that could, individually or in the aggregate, reasonably be expected to have a Material Adverse Effect.</w:t>
      </w:r>
    </w:p>
    <w:p>
      <w:pPr>
        <w:spacing w:after="0" w:line="217" w:lineRule="exact"/>
        <w:rPr>
          <w:sz w:val="20"/>
          <w:szCs w:val="20"/>
          <w:color w:val="auto"/>
        </w:rPr>
      </w:pPr>
    </w:p>
    <w:p>
      <w:pPr>
        <w:jc w:val="both"/>
        <w:ind w:firstLine="832"/>
        <w:spacing w:after="0" w:line="336" w:lineRule="auto"/>
        <w:tabs>
          <w:tab w:leader="none" w:pos="13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None of the Note Parties nor any Subsidiary is (i) in default under any agreement or instrument to which it is a party or by which it is bound, (ii) in violation of any order, judgment, decree or ruling of any court, arbitrator or Governmental Authority or (iii) in violation of any applicable law, ordinance, rule or regulation of any Governmental Authority (including, without limitation, Environmental Laws, the USA PATRIOT Act or any of the other laws and regulations that are referred to in Section 5.16), except in such instances in which (a) such requirement of law, ordinance, rule or regulation or order, judgment, decree or ruling is being contested in good faith by appropriate proceedings diligently conducted or (b) such default or violation could not, individually or in the aggregate, reasonably be expected to have a Material Adverse Effect.</w:t>
      </w:r>
    </w:p>
    <w:p>
      <w:pPr>
        <w:spacing w:after="0" w:line="176" w:lineRule="exact"/>
        <w:rPr>
          <w:sz w:val="20"/>
          <w:szCs w:val="20"/>
          <w:color w:val="auto"/>
        </w:rPr>
      </w:pPr>
    </w:p>
    <w:p>
      <w:pPr>
        <w:jc w:val="both"/>
        <w:ind w:firstLine="1513"/>
        <w:spacing w:after="0" w:line="298" w:lineRule="auto"/>
        <w:rPr>
          <w:sz w:val="20"/>
          <w:szCs w:val="20"/>
          <w:color w:val="auto"/>
        </w:rPr>
      </w:pPr>
      <w:r>
        <w:rPr>
          <w:rFonts w:ascii="Arial" w:cs="Arial" w:eastAsia="Arial" w:hAnsi="Arial"/>
          <w:sz w:val="21"/>
          <w:szCs w:val="21"/>
          <w:b w:val="1"/>
          <w:bCs w:val="1"/>
          <w:color w:val="auto"/>
        </w:rPr>
        <w:t>Section 5.9. Taxes</w:t>
      </w:r>
      <w:r>
        <w:rPr>
          <w:rFonts w:ascii="Arial" w:cs="Arial" w:eastAsia="Arial" w:hAnsi="Arial"/>
          <w:sz w:val="21"/>
          <w:szCs w:val="21"/>
          <w:color w:val="auto"/>
        </w:rPr>
        <w:t>. Each Note Party and their Subsidiaries have filed all material tax returns that are required to</w:t>
      </w:r>
      <w:r>
        <w:rPr>
          <w:rFonts w:ascii="Arial" w:cs="Arial" w:eastAsia="Arial" w:hAnsi="Arial"/>
          <w:sz w:val="21"/>
          <w:szCs w:val="21"/>
          <w:b w:val="1"/>
          <w:bCs w:val="1"/>
          <w:color w:val="auto"/>
        </w:rPr>
        <w:t xml:space="preserve"> </w:t>
      </w:r>
      <w:r>
        <w:rPr>
          <w:rFonts w:ascii="Arial" w:cs="Arial" w:eastAsia="Arial" w:hAnsi="Arial"/>
          <w:sz w:val="21"/>
          <w:szCs w:val="21"/>
          <w:color w:val="auto"/>
        </w:rPr>
        <w:t>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individually or in the aggregate, is not Material or (ii) the amount, applicability or validity of which is currently being contested in good faith by appropriate proceedings and with respect to which a Note Party or a Subsidiary, as the case may be, has established adequate reserves in accordance with GAAP. The Company knows of no basis for any other tax or assessment that could, individually or in the aggregate, reasonably be expected to have a Material Adverse Effect. The charges, accruals and reserves on the books of the Note Parties and their Subsidiaries in respect of U.S. federal, state or other taxes for all fiscal periods are adequate. The U.S. federal income tax liabilities of the Note Parties and their Subsidiaries have been finally determined (whether by reason of completed audits or the statute of limitations having run) for all fiscal years up to and including the fiscal year ended December 31, 2013.</w:t>
      </w:r>
    </w:p>
    <w:p>
      <w:pPr>
        <w:spacing w:after="0" w:line="216"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9</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22" w:name="page23"/>
    <w:bookmarkEnd w:id="22"/>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1513"/>
        <w:spacing w:after="0" w:line="308" w:lineRule="auto"/>
        <w:rPr>
          <w:sz w:val="20"/>
          <w:szCs w:val="20"/>
          <w:color w:val="auto"/>
        </w:rPr>
      </w:pPr>
      <w:r>
        <w:rPr>
          <w:rFonts w:ascii="Arial" w:cs="Arial" w:eastAsia="Arial" w:hAnsi="Arial"/>
          <w:sz w:val="21"/>
          <w:szCs w:val="21"/>
          <w:b w:val="1"/>
          <w:bCs w:val="1"/>
          <w:color w:val="auto"/>
        </w:rPr>
        <w:t>Section 5.10. Title to Property; Leases</w:t>
      </w:r>
      <w:r>
        <w:rPr>
          <w:rFonts w:ascii="Arial" w:cs="Arial" w:eastAsia="Arial" w:hAnsi="Arial"/>
          <w:sz w:val="21"/>
          <w:szCs w:val="21"/>
          <w:color w:val="auto"/>
        </w:rPr>
        <w:t>. Each Note Party and each of its Subsidiaries has good and marketable</w:t>
      </w:r>
      <w:r>
        <w:rPr>
          <w:rFonts w:ascii="Arial" w:cs="Arial" w:eastAsia="Arial" w:hAnsi="Arial"/>
          <w:sz w:val="21"/>
          <w:szCs w:val="21"/>
          <w:b w:val="1"/>
          <w:bCs w:val="1"/>
          <w:color w:val="auto"/>
        </w:rPr>
        <w:t xml:space="preserve"> </w:t>
      </w:r>
      <w:r>
        <w:rPr>
          <w:rFonts w:ascii="Arial" w:cs="Arial" w:eastAsia="Arial" w:hAnsi="Arial"/>
          <w:sz w:val="21"/>
          <w:szCs w:val="21"/>
          <w:color w:val="auto"/>
        </w:rPr>
        <w:t>title in fee simple to, or valid leasehold interests in, their respective real properties necessary or used in the ordinary course of their business, except for such defects in title as could not, individually or in the aggregate, reasonably be expected to have a Material Adverse Effect, and in each case free and clear of Liens prohibited by this Agreement.</w:t>
      </w:r>
    </w:p>
    <w:p>
      <w:pPr>
        <w:spacing w:after="0" w:line="192" w:lineRule="exact"/>
        <w:rPr>
          <w:sz w:val="20"/>
          <w:szCs w:val="20"/>
          <w:color w:val="auto"/>
        </w:rPr>
      </w:pPr>
    </w:p>
    <w:p>
      <w:pPr>
        <w:jc w:val="both"/>
        <w:ind w:firstLine="1513"/>
        <w:spacing w:after="0" w:line="360" w:lineRule="auto"/>
        <w:rPr>
          <w:sz w:val="20"/>
          <w:szCs w:val="20"/>
          <w:color w:val="auto"/>
        </w:rPr>
      </w:pPr>
      <w:r>
        <w:rPr>
          <w:rFonts w:ascii="Arial" w:cs="Arial" w:eastAsia="Arial" w:hAnsi="Arial"/>
          <w:sz w:val="19"/>
          <w:szCs w:val="19"/>
          <w:b w:val="1"/>
          <w:bCs w:val="1"/>
          <w:color w:val="auto"/>
        </w:rPr>
        <w:t>Section 5.11. Licenses, Permits, Etc</w:t>
      </w:r>
      <w:r>
        <w:rPr>
          <w:rFonts w:ascii="Arial" w:cs="Arial" w:eastAsia="Arial" w:hAnsi="Arial"/>
          <w:sz w:val="19"/>
          <w:szCs w:val="19"/>
          <w:color w:val="auto"/>
        </w:rPr>
        <w:t>. (a) Each Note Party and each of its Subsidiaries owns or possesses all</w:t>
      </w:r>
      <w:r>
        <w:rPr>
          <w:rFonts w:ascii="Arial" w:cs="Arial" w:eastAsia="Arial" w:hAnsi="Arial"/>
          <w:sz w:val="19"/>
          <w:szCs w:val="19"/>
          <w:b w:val="1"/>
          <w:bCs w:val="1"/>
          <w:color w:val="auto"/>
        </w:rPr>
        <w:t xml:space="preserve"> </w:t>
      </w:r>
      <w:r>
        <w:rPr>
          <w:rFonts w:ascii="Arial" w:cs="Arial" w:eastAsia="Arial" w:hAnsi="Arial"/>
          <w:sz w:val="19"/>
          <w:szCs w:val="19"/>
          <w:color w:val="auto"/>
        </w:rPr>
        <w:t>licenses, permits, franchises, authorizations, patents, copyrights, proprietary software, service marks, trademarks and trade names, or rights thereto, that individually or in the aggregate are Material, without known conflict with the rights of others.</w:t>
      </w:r>
    </w:p>
    <w:p>
      <w:pPr>
        <w:spacing w:after="0" w:line="157" w:lineRule="exact"/>
        <w:rPr>
          <w:sz w:val="20"/>
          <w:szCs w:val="20"/>
          <w:color w:val="auto"/>
        </w:rPr>
      </w:pPr>
    </w:p>
    <w:p>
      <w:pPr>
        <w:jc w:val="both"/>
        <w:ind w:firstLine="832"/>
        <w:spacing w:after="0" w:line="292" w:lineRule="auto"/>
        <w:tabs>
          <w:tab w:leader="none" w:pos="1288"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the best knowledge of the Company, no product or service of any Note Party or any of their Subsidiaries infringes in any material respect any license, permit, franchise, authorization, patent, copyright, proprietary software, service mark, trademark, trade name or other right owned by any other Person.</w:t>
      </w:r>
    </w:p>
    <w:p>
      <w:pPr>
        <w:spacing w:after="0" w:line="211" w:lineRule="exact"/>
        <w:rPr>
          <w:rFonts w:ascii="Arial" w:cs="Arial" w:eastAsia="Arial" w:hAnsi="Arial"/>
          <w:sz w:val="22"/>
          <w:szCs w:val="22"/>
          <w:color w:val="auto"/>
        </w:rPr>
      </w:pPr>
    </w:p>
    <w:p>
      <w:pPr>
        <w:jc w:val="both"/>
        <w:ind w:right="20" w:firstLine="832"/>
        <w:spacing w:after="0" w:line="292" w:lineRule="auto"/>
        <w:tabs>
          <w:tab w:leader="none" w:pos="1308"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the best knowledge of the Company, there is no Material violation by any Person of any right of any Note Party or any of their Subsidiaries with respect to any patent, copyright, proprietary software, service mark, trademark, trade name or other right owned or used by any Note Party or any of their Subsidiaries.</w:t>
      </w:r>
    </w:p>
    <w:p>
      <w:pPr>
        <w:spacing w:after="0" w:line="205" w:lineRule="exact"/>
        <w:rPr>
          <w:sz w:val="20"/>
          <w:szCs w:val="20"/>
          <w:color w:val="auto"/>
        </w:rPr>
      </w:pPr>
    </w:p>
    <w:p>
      <w:pPr>
        <w:jc w:val="both"/>
        <w:ind w:firstLine="1513"/>
        <w:spacing w:after="0" w:line="333" w:lineRule="auto"/>
        <w:rPr>
          <w:sz w:val="20"/>
          <w:szCs w:val="20"/>
          <w:color w:val="auto"/>
        </w:rPr>
      </w:pPr>
      <w:r>
        <w:rPr>
          <w:rFonts w:ascii="Arial" w:cs="Arial" w:eastAsia="Arial" w:hAnsi="Arial"/>
          <w:sz w:val="19"/>
          <w:szCs w:val="19"/>
          <w:b w:val="1"/>
          <w:bCs w:val="1"/>
          <w:color w:val="auto"/>
        </w:rPr>
        <w:t>Section 5.12. Compliance with ERISA</w:t>
      </w:r>
      <w:r>
        <w:rPr>
          <w:rFonts w:ascii="Arial" w:cs="Arial" w:eastAsia="Arial" w:hAnsi="Arial"/>
          <w:sz w:val="19"/>
          <w:szCs w:val="19"/>
          <w:color w:val="auto"/>
        </w:rPr>
        <w:t>. (a) Each Note Party and each ERISA Affiliate have operated and</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administered each Plan in compliance with all applicable laws except for such instances of noncompliance as have not resulted in and could not, individually or in the aggregate, reasonably be expected to result in a Material Adverse Effect. Neither a Note Party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individually or in the aggregate, reasonably be expected to result in the incurrence of any such liability by a Note Party or any ERISA Affiliate, or in the imposition of any Lien on any of the rights, properties or assets of a Note Party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as would not be individually or in the aggregate Material.</w:t>
      </w:r>
    </w:p>
    <w:p>
      <w:pPr>
        <w:spacing w:after="0" w:line="189" w:lineRule="exact"/>
        <w:rPr>
          <w:sz w:val="20"/>
          <w:szCs w:val="20"/>
          <w:color w:val="auto"/>
        </w:rPr>
      </w:pPr>
    </w:p>
    <w:p>
      <w:pPr>
        <w:jc w:val="both"/>
        <w:ind w:firstLine="832"/>
        <w:spacing w:after="0" w:line="288" w:lineRule="auto"/>
        <w:tabs>
          <w:tab w:leader="none" w:pos="1399"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w:t>
      </w:r>
    </w:p>
    <w:p>
      <w:pPr>
        <w:spacing w:after="0" w:line="217"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10</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23" w:name="page24"/>
    <w:bookmarkEnd w:id="23"/>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308" w:lineRule="auto"/>
        <w:rPr>
          <w:sz w:val="20"/>
          <w:szCs w:val="20"/>
          <w:color w:val="auto"/>
        </w:rPr>
      </w:pPr>
      <w:r>
        <w:rPr>
          <w:rFonts w:ascii="Arial" w:cs="Arial" w:eastAsia="Arial" w:hAnsi="Arial"/>
          <w:sz w:val="22"/>
          <w:szCs w:val="22"/>
          <w:color w:val="auto"/>
        </w:rPr>
        <w:t xml:space="preserve">allocable to such benefit liabilities. The term </w:t>
      </w:r>
      <w:r>
        <w:rPr>
          <w:rFonts w:ascii="Arial" w:cs="Arial" w:eastAsia="Arial" w:hAnsi="Arial"/>
          <w:sz w:val="22"/>
          <w:szCs w:val="22"/>
          <w:b w:val="1"/>
          <w:bCs w:val="1"/>
          <w:color w:val="auto"/>
        </w:rPr>
        <w:t>“benefit liabilities”</w:t>
      </w:r>
      <w:r>
        <w:rPr>
          <w:rFonts w:ascii="Arial" w:cs="Arial" w:eastAsia="Arial" w:hAnsi="Arial"/>
          <w:sz w:val="22"/>
          <w:szCs w:val="22"/>
          <w:color w:val="auto"/>
        </w:rPr>
        <w:t xml:space="preserve"> has the meaning specified in section 4001 of ERISA and the terms </w:t>
      </w:r>
      <w:r>
        <w:rPr>
          <w:rFonts w:ascii="Arial" w:cs="Arial" w:eastAsia="Arial" w:hAnsi="Arial"/>
          <w:sz w:val="22"/>
          <w:szCs w:val="22"/>
          <w:b w:val="1"/>
          <w:bCs w:val="1"/>
          <w:color w:val="auto"/>
        </w:rPr>
        <w:t>“current value”</w:t>
      </w:r>
      <w:r>
        <w:rPr>
          <w:rFonts w:ascii="Arial" w:cs="Arial" w:eastAsia="Arial" w:hAnsi="Arial"/>
          <w:sz w:val="22"/>
          <w:szCs w:val="22"/>
          <w:color w:val="auto"/>
        </w:rPr>
        <w:t xml:space="preserve"> and </w:t>
      </w:r>
      <w:r>
        <w:rPr>
          <w:rFonts w:ascii="Arial" w:cs="Arial" w:eastAsia="Arial" w:hAnsi="Arial"/>
          <w:sz w:val="22"/>
          <w:szCs w:val="22"/>
          <w:b w:val="1"/>
          <w:bCs w:val="1"/>
          <w:color w:val="auto"/>
        </w:rPr>
        <w:t>“present value”</w:t>
      </w:r>
      <w:r>
        <w:rPr>
          <w:rFonts w:ascii="Arial" w:cs="Arial" w:eastAsia="Arial" w:hAnsi="Arial"/>
          <w:sz w:val="22"/>
          <w:szCs w:val="22"/>
          <w:color w:val="auto"/>
        </w:rPr>
        <w:t xml:space="preserve"> have the meaning specified in section 3 of ERISA.</w:t>
      </w:r>
    </w:p>
    <w:p>
      <w:pPr>
        <w:spacing w:after="0" w:line="194" w:lineRule="exact"/>
        <w:rPr>
          <w:sz w:val="20"/>
          <w:szCs w:val="20"/>
          <w:color w:val="auto"/>
        </w:rPr>
      </w:pPr>
    </w:p>
    <w:p>
      <w:pPr>
        <w:jc w:val="both"/>
        <w:ind w:firstLine="832"/>
        <w:spacing w:after="0" w:line="292" w:lineRule="auto"/>
        <w:tabs>
          <w:tab w:leader="none" w:pos="1308" w:val="left"/>
        </w:tabs>
        <w:numPr>
          <w:ilvl w:val="0"/>
          <w:numId w:val="14"/>
        </w:numPr>
        <w:rPr>
          <w:rFonts w:ascii="Arial" w:cs="Arial" w:eastAsia="Arial" w:hAnsi="Arial"/>
          <w:sz w:val="22"/>
          <w:szCs w:val="22"/>
          <w:color w:val="auto"/>
        </w:rPr>
      </w:pPr>
      <w:r>
        <w:rPr>
          <w:rFonts w:ascii="Arial" w:cs="Arial" w:eastAsia="Arial" w:hAnsi="Arial"/>
          <w:sz w:val="22"/>
          <w:szCs w:val="22"/>
          <w:color w:val="auto"/>
        </w:rPr>
        <w:t>Each Note Party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211" w:lineRule="exact"/>
        <w:rPr>
          <w:rFonts w:ascii="Arial" w:cs="Arial" w:eastAsia="Arial" w:hAnsi="Arial"/>
          <w:sz w:val="22"/>
          <w:szCs w:val="22"/>
          <w:color w:val="auto"/>
        </w:rPr>
      </w:pPr>
    </w:p>
    <w:p>
      <w:pPr>
        <w:jc w:val="both"/>
        <w:ind w:firstLine="832"/>
        <w:spacing w:after="0" w:line="291" w:lineRule="exact"/>
        <w:tabs>
          <w:tab w:leader="none" w:pos="1393"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expected postretirement benefit obligation (determined as of the last day of the Consolidated Group’s most recently ended fiscal year in accordance with Financial Accounting Standards Board Accounting Standards Codification Topic 715</w:t>
      </w:r>
      <w:r>
        <w:rPr>
          <w:rFonts w:ascii="MS PGothic" w:cs="MS PGothic" w:eastAsia="MS PGothic" w:hAnsi="MS PGothic"/>
          <w:sz w:val="22"/>
          <w:szCs w:val="22"/>
          <w:color w:val="auto"/>
        </w:rPr>
        <w:t>‑</w:t>
      </w:r>
      <w:r>
        <w:rPr>
          <w:rFonts w:ascii="Arial" w:cs="Arial" w:eastAsia="Arial" w:hAnsi="Arial"/>
          <w:sz w:val="22"/>
          <w:szCs w:val="22"/>
          <w:color w:val="auto"/>
        </w:rPr>
        <w:t>60, without regard to liabilities attributable to continuation coverage mandated by section 4980B of the Code) of the Consolidated Group is not Material.</w:t>
      </w:r>
    </w:p>
    <w:p>
      <w:pPr>
        <w:spacing w:after="0" w:line="267" w:lineRule="exact"/>
        <w:rPr>
          <w:rFonts w:ascii="Arial" w:cs="Arial" w:eastAsia="Arial" w:hAnsi="Arial"/>
          <w:sz w:val="22"/>
          <w:szCs w:val="22"/>
          <w:color w:val="auto"/>
        </w:rPr>
      </w:pPr>
    </w:p>
    <w:p>
      <w:pPr>
        <w:jc w:val="both"/>
        <w:ind w:firstLine="832"/>
        <w:spacing w:after="0" w:line="293" w:lineRule="exact"/>
        <w:tabs>
          <w:tab w:leader="none" w:pos="143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execution and delivery of this Agreement, the Affiliate Guaranty and the issuance and sale of the Notes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19"/>
          <w:szCs w:val="19"/>
          <w:color w:val="auto"/>
        </w:rPr>
        <w:t>‑</w:t>
      </w:r>
      <w:r>
        <w:rPr>
          <w:rFonts w:ascii="Arial" w:cs="Arial" w:eastAsia="Arial" w:hAnsi="Arial"/>
          <w:sz w:val="19"/>
          <w:szCs w:val="19"/>
          <w:color w:val="auto"/>
        </w:rPr>
        <w:t>(D)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Notes to be purchased by such Purchaser.</w:t>
      </w:r>
    </w:p>
    <w:p>
      <w:pPr>
        <w:spacing w:after="0" w:line="262" w:lineRule="exact"/>
        <w:rPr>
          <w:sz w:val="20"/>
          <w:szCs w:val="20"/>
          <w:color w:val="auto"/>
        </w:rPr>
      </w:pPr>
    </w:p>
    <w:p>
      <w:pPr>
        <w:jc w:val="both"/>
        <w:ind w:firstLine="1513"/>
        <w:spacing w:after="0" w:line="286" w:lineRule="auto"/>
        <w:rPr>
          <w:sz w:val="20"/>
          <w:szCs w:val="20"/>
          <w:color w:val="auto"/>
        </w:rPr>
      </w:pPr>
      <w:r>
        <w:rPr>
          <w:rFonts w:ascii="Arial" w:cs="Arial" w:eastAsia="Arial" w:hAnsi="Arial"/>
          <w:sz w:val="22"/>
          <w:szCs w:val="22"/>
          <w:b w:val="1"/>
          <w:bCs w:val="1"/>
          <w:color w:val="auto"/>
        </w:rPr>
        <w:t>Section 5.13. Private Offering by the Company</w:t>
      </w:r>
      <w:r>
        <w:rPr>
          <w:rFonts w:ascii="Arial" w:cs="Arial" w:eastAsia="Arial" w:hAnsi="Arial"/>
          <w:sz w:val="22"/>
          <w:szCs w:val="22"/>
          <w:color w:val="auto"/>
        </w:rPr>
        <w:t>. Neither the Company nor anyone acting on its behalf has</w:t>
      </w:r>
      <w:r>
        <w:rPr>
          <w:rFonts w:ascii="Arial" w:cs="Arial" w:eastAsia="Arial" w:hAnsi="Arial"/>
          <w:sz w:val="22"/>
          <w:szCs w:val="22"/>
          <w:b w:val="1"/>
          <w:bCs w:val="1"/>
          <w:color w:val="auto"/>
        </w:rPr>
        <w:t xml:space="preserve"> </w:t>
      </w:r>
      <w:r>
        <w:rPr>
          <w:rFonts w:ascii="Arial" w:cs="Arial" w:eastAsia="Arial" w:hAnsi="Arial"/>
          <w:sz w:val="22"/>
          <w:szCs w:val="22"/>
          <w:color w:val="auto"/>
        </w:rPr>
        <w:t>offered the Notes or any similar Securities for sale to, or solicited any offer to buy the Notes or any similar Securities from, or otherwise approached or negotiated in respect thereof with, any Person other than the Purchasers and not more than 50 other Institutional Investors, each of which has been offered the Notes at a private sale for investment. Neither the Company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w:t>
      </w:r>
    </w:p>
    <w:p>
      <w:pPr>
        <w:spacing w:after="0" w:line="213" w:lineRule="exact"/>
        <w:rPr>
          <w:sz w:val="20"/>
          <w:szCs w:val="20"/>
          <w:color w:val="auto"/>
        </w:rPr>
      </w:pPr>
    </w:p>
    <w:p>
      <w:pPr>
        <w:jc w:val="both"/>
        <w:ind w:firstLine="1513"/>
        <w:spacing w:after="0" w:line="286" w:lineRule="auto"/>
        <w:rPr>
          <w:sz w:val="20"/>
          <w:szCs w:val="20"/>
          <w:color w:val="auto"/>
        </w:rPr>
      </w:pPr>
      <w:r>
        <w:rPr>
          <w:rFonts w:ascii="Arial" w:cs="Arial" w:eastAsia="Arial" w:hAnsi="Arial"/>
          <w:sz w:val="22"/>
          <w:szCs w:val="22"/>
          <w:b w:val="1"/>
          <w:bCs w:val="1"/>
          <w:color w:val="auto"/>
        </w:rPr>
        <w:t>Section 5.14. Use of Proceeds; Margin Regulations</w:t>
      </w:r>
      <w:r>
        <w:rPr>
          <w:rFonts w:ascii="Arial" w:cs="Arial" w:eastAsia="Arial" w:hAnsi="Arial"/>
          <w:sz w:val="22"/>
          <w:szCs w:val="22"/>
          <w:color w:val="auto"/>
        </w:rPr>
        <w:t>. The Company will apply the proceeds of the sale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Notes hereunder as set forth in the Memorandum.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25% of the value of the consolidated</w:t>
      </w:r>
    </w:p>
    <w:p>
      <w:pPr>
        <w:spacing w:after="0" w:line="219"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11</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24" w:name="page25"/>
    <w:bookmarkEnd w:id="24"/>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 xml:space="preserve">assets of the Company and its Subsidiaries and the Company does not have any present intention that margin stock will constitute more than 25% of the value of such assets. As used in this Section, the terms </w:t>
      </w:r>
      <w:r>
        <w:rPr>
          <w:rFonts w:ascii="Arial" w:cs="Arial" w:eastAsia="Arial" w:hAnsi="Arial"/>
          <w:sz w:val="22"/>
          <w:szCs w:val="22"/>
          <w:b w:val="1"/>
          <w:bCs w:val="1"/>
          <w:color w:val="auto"/>
        </w:rPr>
        <w:t>“margin stock”</w:t>
      </w:r>
      <w:r>
        <w:rPr>
          <w:rFonts w:ascii="Arial" w:cs="Arial" w:eastAsia="Arial" w:hAnsi="Arial"/>
          <w:sz w:val="22"/>
          <w:szCs w:val="22"/>
          <w:color w:val="auto"/>
        </w:rPr>
        <w:t xml:space="preserve"> and </w:t>
      </w:r>
      <w:r>
        <w:rPr>
          <w:rFonts w:ascii="Arial" w:cs="Arial" w:eastAsia="Arial" w:hAnsi="Arial"/>
          <w:sz w:val="22"/>
          <w:szCs w:val="22"/>
          <w:b w:val="1"/>
          <w:bCs w:val="1"/>
          <w:color w:val="auto"/>
        </w:rPr>
        <w:t>“purpose of buying or</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carrying” </w:t>
      </w:r>
      <w:r>
        <w:rPr>
          <w:rFonts w:ascii="Arial" w:cs="Arial" w:eastAsia="Arial" w:hAnsi="Arial"/>
          <w:sz w:val="22"/>
          <w:szCs w:val="22"/>
          <w:color w:val="auto"/>
        </w:rPr>
        <w:t>shall have the meanings assigned to them in said Regulation U.</w:t>
      </w:r>
    </w:p>
    <w:p>
      <w:pPr>
        <w:spacing w:after="0" w:line="205" w:lineRule="exact"/>
        <w:rPr>
          <w:sz w:val="20"/>
          <w:szCs w:val="20"/>
          <w:color w:val="auto"/>
        </w:rPr>
      </w:pPr>
    </w:p>
    <w:p>
      <w:pPr>
        <w:jc w:val="both"/>
        <w:ind w:firstLine="1513"/>
        <w:spacing w:after="0" w:line="334" w:lineRule="auto"/>
        <w:rPr>
          <w:sz w:val="20"/>
          <w:szCs w:val="20"/>
          <w:color w:val="auto"/>
        </w:rPr>
      </w:pPr>
      <w:r>
        <w:rPr>
          <w:rFonts w:ascii="Arial" w:cs="Arial" w:eastAsia="Arial" w:hAnsi="Arial"/>
          <w:sz w:val="19"/>
          <w:szCs w:val="19"/>
          <w:b w:val="1"/>
          <w:bCs w:val="1"/>
          <w:color w:val="auto"/>
        </w:rPr>
        <w:t xml:space="preserve">Section 5.15. Existing Indebtedness; Future Liens </w:t>
      </w:r>
      <w:r>
        <w:rPr>
          <w:rFonts w:ascii="Arial" w:cs="Arial" w:eastAsia="Arial" w:hAnsi="Arial"/>
          <w:sz w:val="19"/>
          <w:szCs w:val="19"/>
          <w:color w:val="auto"/>
        </w:rPr>
        <w:t>. (a) Except as described therein, Schedule 5.15 sets</w:t>
      </w:r>
      <w:r>
        <w:rPr>
          <w:rFonts w:ascii="Arial" w:cs="Arial" w:eastAsia="Arial" w:hAnsi="Arial"/>
          <w:sz w:val="19"/>
          <w:szCs w:val="19"/>
          <w:b w:val="1"/>
          <w:bCs w:val="1"/>
          <w:color w:val="auto"/>
        </w:rPr>
        <w:t xml:space="preserve"> </w:t>
      </w:r>
      <w:r>
        <w:rPr>
          <w:rFonts w:ascii="Arial" w:cs="Arial" w:eastAsia="Arial" w:hAnsi="Arial"/>
          <w:sz w:val="19"/>
          <w:szCs w:val="19"/>
          <w:color w:val="auto"/>
        </w:rPr>
        <w:t>forth a complete and correct list of all outstanding Indebtedness of the Note Parties and their Subsidiaries as of September 30, 2014 (including descriptions of the obligors and obligees (or the agent, trustee or other entity acting in a similar capacity), principal amounts outstanding, whether or not secured and any Guaranties thereof), since which date there has been no Material change (except in connection with the Second Closing and Third Closing, for changes reasonably satisfactory to the Purchasers in such Second Closing or such Third Closing as the case may be) in the amounts, interest rates, sinking funds, installment payments or maturities of the Indebtedness of any Note Party or its Subsidiaries. Neither the Note Parties nor any Subsidiary is in default and no waiver of default is currently in effect, in the payment of any principal or interest on any Indebtedness of any such Note Party or such Subsidiary and no event or condition exists with respect to any Indebtedness of any such Note Party or any Subsidiary that would permit (or that with notice or the lapse of time, or both, would permit) one or more Persons to cause such Indebtedness to become due and payable before its stated maturity or before its regularly scheduled dates of payment.</w:t>
      </w:r>
    </w:p>
    <w:p>
      <w:pPr>
        <w:spacing w:after="0" w:line="186" w:lineRule="exact"/>
        <w:rPr>
          <w:sz w:val="20"/>
          <w:szCs w:val="20"/>
          <w:color w:val="auto"/>
        </w:rPr>
      </w:pPr>
    </w:p>
    <w:p>
      <w:pPr>
        <w:jc w:val="both"/>
        <w:ind w:firstLine="832"/>
        <w:spacing w:after="0" w:line="287" w:lineRule="auto"/>
        <w:tabs>
          <w:tab w:leader="none" w:pos="1378" w:val="left"/>
        </w:tabs>
        <w:numPr>
          <w:ilvl w:val="0"/>
          <w:numId w:val="15"/>
        </w:numPr>
        <w:rPr>
          <w:rFonts w:ascii="Arial" w:cs="Arial" w:eastAsia="Arial" w:hAnsi="Arial"/>
          <w:sz w:val="22"/>
          <w:szCs w:val="22"/>
          <w:color w:val="auto"/>
        </w:rPr>
      </w:pPr>
      <w:r>
        <w:rPr>
          <w:rFonts w:ascii="Arial" w:cs="Arial" w:eastAsia="Arial" w:hAnsi="Arial"/>
          <w:sz w:val="22"/>
          <w:szCs w:val="22"/>
          <w:color w:val="auto"/>
        </w:rPr>
        <w:t>Except as disclosed in Schedule 5.15, neither the Note Parties nor any Subsidiary is a party to any Indebtedness pursuant to which it has agreed or consented to cause or permit any of its property, whether now owned or hereafter acquired, to be subject to a Lien after the date of this representation that secures such Indebtedness or to cause or permit in the future (upon the happening of a contingency or otherwise) any of its property, whether now owned or hereafter acquired, to be subject to a Lien that secures such Indebtedness.</w:t>
      </w:r>
    </w:p>
    <w:p>
      <w:pPr>
        <w:spacing w:after="0" w:line="216" w:lineRule="exact"/>
        <w:rPr>
          <w:rFonts w:ascii="Arial" w:cs="Arial" w:eastAsia="Arial" w:hAnsi="Arial"/>
          <w:sz w:val="22"/>
          <w:szCs w:val="22"/>
          <w:color w:val="auto"/>
        </w:rPr>
      </w:pPr>
    </w:p>
    <w:p>
      <w:pPr>
        <w:jc w:val="both"/>
        <w:ind w:firstLine="832"/>
        <w:spacing w:after="0" w:line="306" w:lineRule="auto"/>
        <w:tabs>
          <w:tab w:leader="none" w:pos="1357" w:val="left"/>
        </w:tabs>
        <w:numPr>
          <w:ilvl w:val="0"/>
          <w:numId w:val="15"/>
        </w:numPr>
        <w:rPr>
          <w:rFonts w:ascii="Arial" w:cs="Arial" w:eastAsia="Arial" w:hAnsi="Arial"/>
          <w:sz w:val="21"/>
          <w:szCs w:val="21"/>
          <w:color w:val="auto"/>
        </w:rPr>
      </w:pPr>
      <w:r>
        <w:rPr>
          <w:rFonts w:ascii="Arial" w:cs="Arial" w:eastAsia="Arial" w:hAnsi="Arial"/>
          <w:sz w:val="21"/>
          <w:szCs w:val="21"/>
          <w:color w:val="auto"/>
        </w:rPr>
        <w:t>Neither the Note Parties nor any Subsidiary is a party to, or otherwise subject to any provision contained in, any instrument evidencing Indebtedness of any such Note Party or such Subsidiary, any agreement relating thereto or any other agreement (including, but not limited to, its charter or any other organizational document) which limits the amount of, or otherwise imposes restrictions on the incurring of, Indebtedness of a Note Party, except as disclosed in Schedule 5.15.</w:t>
      </w:r>
    </w:p>
    <w:p>
      <w:pPr>
        <w:spacing w:after="0" w:line="194" w:lineRule="exact"/>
        <w:rPr>
          <w:sz w:val="20"/>
          <w:szCs w:val="20"/>
          <w:color w:val="auto"/>
        </w:rPr>
      </w:pPr>
    </w:p>
    <w:p>
      <w:pPr>
        <w:ind w:left="1520"/>
        <w:spacing w:after="0"/>
        <w:tabs>
          <w:tab w:leader="none" w:pos="2900" w:val="left"/>
        </w:tabs>
        <w:rPr>
          <w:sz w:val="20"/>
          <w:szCs w:val="20"/>
          <w:color w:val="auto"/>
        </w:rPr>
      </w:pPr>
      <w:r>
        <w:rPr>
          <w:rFonts w:ascii="Arial" w:cs="Arial" w:eastAsia="Arial" w:hAnsi="Arial"/>
          <w:sz w:val="22"/>
          <w:szCs w:val="22"/>
          <w:b w:val="1"/>
          <w:bCs w:val="1"/>
          <w:color w:val="auto"/>
        </w:rPr>
        <w:t>Section 5.16.</w:t>
      </w:r>
      <w:r>
        <w:rPr>
          <w:sz w:val="20"/>
          <w:szCs w:val="20"/>
          <w:color w:val="auto"/>
        </w:rPr>
        <w:tab/>
      </w:r>
      <w:r>
        <w:rPr>
          <w:rFonts w:ascii="Arial" w:cs="Arial" w:eastAsia="Arial" w:hAnsi="Arial"/>
          <w:sz w:val="19"/>
          <w:szCs w:val="19"/>
          <w:b w:val="1"/>
          <w:bCs w:val="1"/>
          <w:color w:val="auto"/>
        </w:rPr>
        <w:t>Foreign Assets Control Regulations, Etc</w:t>
      </w:r>
      <w:r>
        <w:rPr>
          <w:rFonts w:ascii="Arial" w:cs="Arial" w:eastAsia="Arial" w:hAnsi="Arial"/>
          <w:sz w:val="19"/>
          <w:szCs w:val="19"/>
          <w:color w:val="auto"/>
        </w:rPr>
        <w:t>. (a) Neither the Company nor any Controlled Entity is</w:t>
      </w:r>
    </w:p>
    <w:p>
      <w:pPr>
        <w:spacing w:after="0" w:line="50" w:lineRule="exact"/>
        <w:rPr>
          <w:sz w:val="20"/>
          <w:szCs w:val="20"/>
          <w:color w:val="auto"/>
        </w:rPr>
      </w:pPr>
    </w:p>
    <w:p>
      <w:pPr>
        <w:jc w:val="both"/>
        <w:ind w:firstLine="8"/>
        <w:spacing w:after="0" w:line="357" w:lineRule="auto"/>
        <w:tabs>
          <w:tab w:leader="none" w:pos="282" w:val="left"/>
        </w:tabs>
        <w:numPr>
          <w:ilvl w:val="0"/>
          <w:numId w:val="16"/>
        </w:numPr>
        <w:rPr>
          <w:rFonts w:ascii="Arial" w:cs="Arial" w:eastAsia="Arial" w:hAnsi="Arial"/>
          <w:sz w:val="19"/>
          <w:szCs w:val="19"/>
          <w:color w:val="auto"/>
        </w:rPr>
      </w:pPr>
      <w:r>
        <w:rPr>
          <w:rFonts w:ascii="Arial" w:cs="Arial" w:eastAsia="Arial" w:hAnsi="Arial"/>
          <w:sz w:val="19"/>
          <w:szCs w:val="19"/>
          <w:color w:val="auto"/>
        </w:rPr>
        <w:t>a Person whose name appears on the list of Specially Designated Nationals and Blocked Persons published by the Office of Foreign Assets Control, United States Department of the Treasury (</w:t>
      </w:r>
      <w:r>
        <w:rPr>
          <w:rFonts w:ascii="Arial" w:cs="Arial" w:eastAsia="Arial" w:hAnsi="Arial"/>
          <w:sz w:val="19"/>
          <w:szCs w:val="19"/>
          <w:b w:val="1"/>
          <w:bCs w:val="1"/>
          <w:color w:val="auto"/>
        </w:rPr>
        <w:t>“OFAC”</w:t>
      </w:r>
      <w:r>
        <w:rPr>
          <w:rFonts w:ascii="Arial" w:cs="Arial" w:eastAsia="Arial" w:hAnsi="Arial"/>
          <w:sz w:val="19"/>
          <w:szCs w:val="19"/>
          <w:color w:val="auto"/>
        </w:rPr>
        <w:t xml:space="preserve">) (an </w:t>
      </w:r>
      <w:r>
        <w:rPr>
          <w:rFonts w:ascii="Arial" w:cs="Arial" w:eastAsia="Arial" w:hAnsi="Arial"/>
          <w:sz w:val="19"/>
          <w:szCs w:val="19"/>
          <w:b w:val="1"/>
          <w:bCs w:val="1"/>
          <w:color w:val="auto"/>
        </w:rPr>
        <w:t>“OFAC Listed Person”</w:t>
      </w:r>
      <w:r>
        <w:rPr>
          <w:rFonts w:ascii="Arial" w:cs="Arial" w:eastAsia="Arial" w:hAnsi="Arial"/>
          <w:sz w:val="19"/>
          <w:szCs w:val="19"/>
          <w:color w:val="auto"/>
        </w:rPr>
        <w:t>) (ii) an agent, department, or instrumentality of, or is otherwise beneficially owned by, controlled by or acting on behalf of, directly or indirectly,</w:t>
      </w:r>
    </w:p>
    <w:p>
      <w:pPr>
        <w:spacing w:after="0" w:line="159"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12</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25" w:name="page26"/>
    <w:bookmarkEnd w:id="25"/>
    <w:p>
      <w:pPr>
        <w:ind w:left="32"/>
        <w:spacing w:after="0"/>
        <w:tabs>
          <w:tab w:leader="none" w:pos="9092"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8" w:firstLine="8"/>
        <w:spacing w:after="0" w:line="333" w:lineRule="auto"/>
        <w:tabs>
          <w:tab w:leader="none" w:pos="3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any OFAC Listed Person or (y) any Person, entity, organization, foreign country or regime that is subject to any OFAC Sanctions Program, or (iii) otherwise blocked, subject to sanctions under or engaged in any activity in violation of other United States economic sanctions, including but not limited to, the Trading with the Enemy Act, the International Emergency Economic Powers Act, the Comprehensive Iran Sanctions, Accountability and Divestment Act (</w:t>
      </w:r>
      <w:r>
        <w:rPr>
          <w:rFonts w:ascii="Arial" w:cs="Arial" w:eastAsia="Arial" w:hAnsi="Arial"/>
          <w:sz w:val="19"/>
          <w:szCs w:val="19"/>
          <w:b w:val="1"/>
          <w:bCs w:val="1"/>
          <w:color w:val="auto"/>
        </w:rPr>
        <w:t>“CISADA”</w:t>
      </w:r>
      <w:r>
        <w:rPr>
          <w:rFonts w:ascii="Arial" w:cs="Arial" w:eastAsia="Arial" w:hAnsi="Arial"/>
          <w:sz w:val="19"/>
          <w:szCs w:val="19"/>
          <w:color w:val="auto"/>
        </w:rPr>
        <w:t xml:space="preserve">) or any similar law or regulation with respect to Iran or any other country, the Sudan Accountability and Divestment Act, any OFAC Sanctions Program, or any economic sanctions regulations administered and enforced by the United States or any enabling legislation or executive order relating to any of the foregoing (collectively, </w:t>
      </w:r>
      <w:r>
        <w:rPr>
          <w:rFonts w:ascii="Arial" w:cs="Arial" w:eastAsia="Arial" w:hAnsi="Arial"/>
          <w:sz w:val="19"/>
          <w:szCs w:val="19"/>
          <w:b w:val="1"/>
          <w:bCs w:val="1"/>
          <w:color w:val="auto"/>
        </w:rPr>
        <w:t>“U.S. Economic Sanctions”</w:t>
      </w:r>
      <w:r>
        <w:rPr>
          <w:rFonts w:ascii="Arial" w:cs="Arial" w:eastAsia="Arial" w:hAnsi="Arial"/>
          <w:sz w:val="19"/>
          <w:szCs w:val="19"/>
          <w:color w:val="auto"/>
        </w:rPr>
        <w:t xml:space="preserve">) (each OFAC Listed Person and each other Person, entity, organization and government of a country described in clause (i), clause (ii) or clause (iii), a </w:t>
      </w:r>
      <w:r>
        <w:rPr>
          <w:rFonts w:ascii="Arial" w:cs="Arial" w:eastAsia="Arial" w:hAnsi="Arial"/>
          <w:sz w:val="19"/>
          <w:szCs w:val="19"/>
          <w:b w:val="1"/>
          <w:bCs w:val="1"/>
          <w:color w:val="auto"/>
        </w:rPr>
        <w:t>“Blocked Person”</w:t>
      </w:r>
      <w:r>
        <w:rPr>
          <w:rFonts w:ascii="Arial" w:cs="Arial" w:eastAsia="Arial" w:hAnsi="Arial"/>
          <w:sz w:val="19"/>
          <w:szCs w:val="19"/>
          <w:color w:val="auto"/>
        </w:rPr>
        <w:t>). Neither a Note Party nor any Controlled Entity has been notified that its name appears or may in the future appear on a state list of Persons that engage in investment or other commercial activities in Iran or any other country that is subject to U.S. Economic Sanctions.</w:t>
      </w:r>
    </w:p>
    <w:p>
      <w:pPr>
        <w:spacing w:after="0" w:line="182" w:lineRule="exact"/>
        <w:rPr>
          <w:rFonts w:ascii="Arial" w:cs="Arial" w:eastAsia="Arial" w:hAnsi="Arial"/>
          <w:sz w:val="19"/>
          <w:szCs w:val="19"/>
          <w:color w:val="auto"/>
        </w:rPr>
      </w:pPr>
    </w:p>
    <w:p>
      <w:pPr>
        <w:jc w:val="both"/>
        <w:ind w:left="-8" w:firstLine="832"/>
        <w:spacing w:after="0" w:line="288" w:lineRule="auto"/>
        <w:tabs>
          <w:tab w:leader="none" w:pos="1317" w:val="left"/>
        </w:tabs>
        <w:numPr>
          <w:ilvl w:val="1"/>
          <w:numId w:val="17"/>
        </w:numPr>
        <w:rPr>
          <w:rFonts w:ascii="Arial" w:cs="Arial" w:eastAsia="Arial" w:hAnsi="Arial"/>
          <w:sz w:val="22"/>
          <w:szCs w:val="22"/>
          <w:color w:val="auto"/>
        </w:rPr>
      </w:pPr>
      <w:r>
        <w:rPr>
          <w:rFonts w:ascii="Arial" w:cs="Arial" w:eastAsia="Arial" w:hAnsi="Arial"/>
          <w:sz w:val="22"/>
          <w:szCs w:val="22"/>
          <w:color w:val="auto"/>
        </w:rPr>
        <w:t>No part of the proceeds from the sale of the Notes hereunder constitutes or will constitute funds obtained on behalf of any Blocked Person or will otherwise be used by a Note Party or any Controlled Entity, directly or indirectly, (i) in connection with any investment in, or any transactions or dealings with, any Blocked Person, or (ii) otherwise in violation of U.S. Economic Sanctions.</w:t>
      </w:r>
    </w:p>
    <w:p>
      <w:pPr>
        <w:spacing w:after="0" w:line="217" w:lineRule="exact"/>
        <w:rPr>
          <w:rFonts w:ascii="Arial" w:cs="Arial" w:eastAsia="Arial" w:hAnsi="Arial"/>
          <w:sz w:val="22"/>
          <w:szCs w:val="22"/>
          <w:color w:val="auto"/>
        </w:rPr>
      </w:pPr>
    </w:p>
    <w:p>
      <w:pPr>
        <w:jc w:val="both"/>
        <w:ind w:left="-8" w:firstLine="832"/>
        <w:spacing w:after="0" w:line="298" w:lineRule="auto"/>
        <w:tabs>
          <w:tab w:leader="none" w:pos="1319" w:val="left"/>
        </w:tabs>
        <w:numPr>
          <w:ilvl w:val="1"/>
          <w:numId w:val="17"/>
        </w:numPr>
        <w:rPr>
          <w:rFonts w:ascii="Arial" w:cs="Arial" w:eastAsia="Arial" w:hAnsi="Arial"/>
          <w:sz w:val="21"/>
          <w:szCs w:val="21"/>
          <w:color w:val="auto"/>
        </w:rPr>
      </w:pPr>
      <w:r>
        <w:rPr>
          <w:rFonts w:ascii="Arial" w:cs="Arial" w:eastAsia="Arial" w:hAnsi="Arial"/>
          <w:sz w:val="21"/>
          <w:szCs w:val="21"/>
          <w:color w:val="auto"/>
        </w:rPr>
        <w:t xml:space="preserve">Neither any Note Party nor any Controlled Entity (i) has been found in violation of, charged with, or convicted of, money laundering, drug trafficking, terrorist-related activities or other money laundering predicate crimes under the Currency and Foreign Transactions Reporting Act of 1970 (otherwise known as the Bank Secrecy Act), the USA PATRIOT Act or any other United States law or regulation governing such activities (collectively, </w:t>
      </w:r>
      <w:r>
        <w:rPr>
          <w:rFonts w:ascii="Arial" w:cs="Arial" w:eastAsia="Arial" w:hAnsi="Arial"/>
          <w:sz w:val="21"/>
          <w:szCs w:val="21"/>
          <w:b w:val="1"/>
          <w:bCs w:val="1"/>
          <w:color w:val="auto"/>
        </w:rPr>
        <w:t>“Anti-Money Laundering Laws”</w:t>
      </w:r>
      <w:r>
        <w:rPr>
          <w:rFonts w:ascii="Arial" w:cs="Arial" w:eastAsia="Arial" w:hAnsi="Arial"/>
          <w:sz w:val="21"/>
          <w:szCs w:val="21"/>
          <w:color w:val="auto"/>
        </w:rPr>
        <w:t>) or any U.S. Economic Sanctions violations, (ii) to the Company’s actual knowledge after making due inquiry, is under investigation by any Governmental Authority for possible violation of Anti-Money Laundering Laws or any U.S. Economic Sanctions violations, (iii) has been assessed civil penalties under any Anti-Money Laundering Laws or any U.S. Economic Sanctions, or (iv) has had any of its funds seized or forfeited in an action under any Anti-Money Laundering Laws. The Note Parties have established procedures and controls which they reasonably believe are adequate (and otherwise comply with applicable law) to ensure that each Note Party and each Controlled Entity is and will continue to be in compliance with all applicable current and future Anti-Money Laundering Laws and U.S. Economic Sanctions.</w:t>
      </w:r>
    </w:p>
    <w:p>
      <w:pPr>
        <w:spacing w:after="0" w:line="213" w:lineRule="exact"/>
        <w:rPr>
          <w:rFonts w:ascii="Arial" w:cs="Arial" w:eastAsia="Arial" w:hAnsi="Arial"/>
          <w:sz w:val="21"/>
          <w:szCs w:val="21"/>
          <w:color w:val="auto"/>
        </w:rPr>
      </w:pPr>
    </w:p>
    <w:p>
      <w:pPr>
        <w:jc w:val="both"/>
        <w:ind w:left="-8" w:firstLine="832"/>
        <w:spacing w:after="0" w:line="357" w:lineRule="auto"/>
        <w:tabs>
          <w:tab w:leader="none" w:pos="1302" w:val="left"/>
        </w:tabs>
        <w:numPr>
          <w:ilvl w:val="1"/>
          <w:numId w:val="17"/>
        </w:numPr>
        <w:rPr>
          <w:rFonts w:ascii="Arial" w:cs="Arial" w:eastAsia="Arial" w:hAnsi="Arial"/>
          <w:sz w:val="19"/>
          <w:szCs w:val="19"/>
          <w:color w:val="auto"/>
        </w:rPr>
      </w:pPr>
      <w:r>
        <w:rPr>
          <w:rFonts w:ascii="Arial" w:cs="Arial" w:eastAsia="Arial" w:hAnsi="Arial"/>
          <w:sz w:val="19"/>
          <w:szCs w:val="19"/>
          <w:color w:val="auto"/>
        </w:rPr>
        <w:t xml:space="preserve">(1) Neither any Note Party nor any Controlled Entity (i) has been charged with, or convicted of bribery or any other anti-corruption related activity under any applicable law or regulation in a U.S. or any non-U.S. country or jurisdiction, including but not limited to, the U.S. Foreign Corrupt Practices Act and the U.K. Bribery Act 2010 (collectively, </w:t>
      </w:r>
      <w:r>
        <w:rPr>
          <w:rFonts w:ascii="Arial" w:cs="Arial" w:eastAsia="Arial" w:hAnsi="Arial"/>
          <w:sz w:val="19"/>
          <w:szCs w:val="19"/>
          <w:b w:val="1"/>
          <w:bCs w:val="1"/>
          <w:color w:val="auto"/>
        </w:rPr>
        <w:t>“Anti-Corruption</w:t>
      </w:r>
    </w:p>
    <w:p>
      <w:pPr>
        <w:spacing w:after="0" w:line="159" w:lineRule="exact"/>
        <w:rPr>
          <w:sz w:val="20"/>
          <w:szCs w:val="20"/>
          <w:color w:val="auto"/>
        </w:rPr>
      </w:pPr>
    </w:p>
    <w:p>
      <w:pPr>
        <w:ind w:left="7632"/>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13</w:t>
      </w:r>
      <w:r>
        <w:rPr>
          <w:rFonts w:ascii="MS PGothic" w:cs="MS PGothic" w:eastAsia="MS PGothic" w:hAnsi="MS PGothic"/>
          <w:sz w:val="22"/>
          <w:szCs w:val="22"/>
          <w:color w:val="auto"/>
        </w:rPr>
        <w:t>‑</w:t>
      </w:r>
    </w:p>
    <w:p>
      <w:pPr>
        <w:sectPr>
          <w:pgSz w:w="11900" w:h="16838" w:orient="portrait"/>
          <w:cols w:equalWidth="0" w:num="1">
            <w:col w:w="11412"/>
          </w:cols>
          <w:pgMar w:left="248" w:top="280" w:right="239" w:bottom="1440" w:gutter="0" w:footer="0" w:header="0"/>
        </w:sectPr>
      </w:pPr>
    </w:p>
    <w:bookmarkStart w:id="26" w:name="page27"/>
    <w:bookmarkEnd w:id="26"/>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360" w:lineRule="auto"/>
        <w:rPr>
          <w:sz w:val="20"/>
          <w:szCs w:val="20"/>
          <w:color w:val="auto"/>
        </w:rPr>
      </w:pPr>
      <w:r>
        <w:rPr>
          <w:rFonts w:ascii="Arial" w:cs="Arial" w:eastAsia="Arial" w:hAnsi="Arial"/>
          <w:sz w:val="19"/>
          <w:szCs w:val="19"/>
          <w:b w:val="1"/>
          <w:bCs w:val="1"/>
          <w:color w:val="auto"/>
        </w:rPr>
        <w:t>Laws”</w:t>
      </w:r>
      <w:r>
        <w:rPr>
          <w:rFonts w:ascii="Arial" w:cs="Arial" w:eastAsia="Arial" w:hAnsi="Arial"/>
          <w:sz w:val="19"/>
          <w:szCs w:val="19"/>
          <w:color w:val="auto"/>
        </w:rPr>
        <w:t>), (ii) to the Company’s actual knowledge after making due inquiry, is under investigation by any U.S. or non-U.S.</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Governmental Authority for possible violation of Anti-Corruption Laws, (iii) has been assessed civil or criminal penalties under any Anti-Corruption Laws or (iv) has been or is the target of sanctions imposed by the United Nations or the European Union;</w:t>
      </w:r>
    </w:p>
    <w:p>
      <w:pPr>
        <w:spacing w:after="0" w:line="157" w:lineRule="exact"/>
        <w:rPr>
          <w:sz w:val="20"/>
          <w:szCs w:val="20"/>
          <w:color w:val="auto"/>
        </w:rPr>
      </w:pPr>
    </w:p>
    <w:p>
      <w:pPr>
        <w:jc w:val="both"/>
        <w:ind w:firstLine="832"/>
        <w:spacing w:after="0" w:line="299" w:lineRule="auto"/>
        <w:tabs>
          <w:tab w:leader="none" w:pos="1298" w:val="left"/>
        </w:tabs>
        <w:numPr>
          <w:ilvl w:val="0"/>
          <w:numId w:val="18"/>
        </w:numPr>
        <w:rPr>
          <w:rFonts w:ascii="Arial" w:cs="Arial" w:eastAsia="Arial" w:hAnsi="Arial"/>
          <w:sz w:val="21"/>
          <w:szCs w:val="21"/>
          <w:color w:val="auto"/>
        </w:rPr>
      </w:pPr>
      <w:r>
        <w:rPr>
          <w:rFonts w:ascii="Arial" w:cs="Arial" w:eastAsia="Arial" w:hAnsi="Arial"/>
          <w:sz w:val="21"/>
          <w:szCs w:val="21"/>
          <w:color w:val="auto"/>
        </w:rPr>
        <w:t>To the Company’s actual knowledge after making due inquiry, neither any Note Party nor any Controlled Entity has, within the last five years, directly or indirectly offered, promised, given, paid or authorized the offer, promise, giving or payment of anything of value to a Governmental Official or a commercial counterparty for the purposes of: (i) influencing any act, decision or failure to act by such Governmental Official in his or her official capacity or such commercial counterparty, (ii) inducing a Governmental Official to do or omit to do any act in violation of the Governmental Official’s lawful duty, or (iii) inducing a Governmental Official or a commercial counterparty to use his or her influence with a government or instrumentality to affect any act or decision of such government or entity; in each case in order to obtain, retain or direct business or to otherwise secure an improper advantage in violation of any applicable law or regulation or which would cause any holder to be in violation of any law or regulation applicable to such holder; and</w:t>
      </w:r>
    </w:p>
    <w:p>
      <w:pPr>
        <w:spacing w:after="0" w:line="209" w:lineRule="exact"/>
        <w:rPr>
          <w:rFonts w:ascii="Arial" w:cs="Arial" w:eastAsia="Arial" w:hAnsi="Arial"/>
          <w:sz w:val="21"/>
          <w:szCs w:val="21"/>
          <w:color w:val="auto"/>
        </w:rPr>
      </w:pPr>
    </w:p>
    <w:p>
      <w:pPr>
        <w:jc w:val="both"/>
        <w:ind w:firstLine="832"/>
        <w:spacing w:after="0" w:line="303" w:lineRule="auto"/>
        <w:tabs>
          <w:tab w:leader="none" w:pos="1348" w:val="left"/>
        </w:tabs>
        <w:numPr>
          <w:ilvl w:val="0"/>
          <w:numId w:val="18"/>
        </w:numPr>
        <w:rPr>
          <w:rFonts w:ascii="Arial" w:cs="Arial" w:eastAsia="Arial" w:hAnsi="Arial"/>
          <w:sz w:val="21"/>
          <w:szCs w:val="21"/>
          <w:color w:val="auto"/>
        </w:rPr>
      </w:pPr>
      <w:r>
        <w:rPr>
          <w:rFonts w:ascii="Arial" w:cs="Arial" w:eastAsia="Arial" w:hAnsi="Arial"/>
          <w:sz w:val="21"/>
          <w:szCs w:val="21"/>
          <w:color w:val="auto"/>
        </w:rPr>
        <w:t>No part of the proceeds from the sale of the Notes hereunder will be used, directly or indirectly, for any improper payments, including bribes, to any Governmental Official or commercial counterparty in order to obtain, retain or direct business or obtain any improper advantage. Each Note Party has established procedures and controls which it reasonably believes are adequate (and otherwise comply with applicable law) to ensure that each Note Party and each Controlled Entity is and will continue to be in compliance with all applicable current and future Anti-Corruption Laws.</w:t>
      </w:r>
    </w:p>
    <w:p>
      <w:pPr>
        <w:spacing w:after="0" w:line="198" w:lineRule="exact"/>
        <w:rPr>
          <w:sz w:val="20"/>
          <w:szCs w:val="20"/>
          <w:color w:val="auto"/>
        </w:rPr>
      </w:pPr>
    </w:p>
    <w:p>
      <w:pPr>
        <w:jc w:val="both"/>
        <w:ind w:right="20" w:firstLine="1513"/>
        <w:spacing w:after="0" w:line="294" w:lineRule="auto"/>
        <w:rPr>
          <w:sz w:val="20"/>
          <w:szCs w:val="20"/>
          <w:color w:val="auto"/>
        </w:rPr>
      </w:pPr>
      <w:r>
        <w:rPr>
          <w:rFonts w:ascii="Arial" w:cs="Arial" w:eastAsia="Arial" w:hAnsi="Arial"/>
          <w:sz w:val="22"/>
          <w:szCs w:val="22"/>
          <w:b w:val="1"/>
          <w:bCs w:val="1"/>
          <w:color w:val="auto"/>
        </w:rPr>
        <w:t>Section 5.17. Status under Certain Statutes</w:t>
      </w:r>
      <w:r>
        <w:rPr>
          <w:rFonts w:ascii="Arial" w:cs="Arial" w:eastAsia="Arial" w:hAnsi="Arial"/>
          <w:sz w:val="22"/>
          <w:szCs w:val="22"/>
          <w:color w:val="auto"/>
        </w:rPr>
        <w:t>. Neither any Note Party nor any Subsidiary is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 under the Investment Company Act of 1940, as amended, the Public Utility Holding Company Act of 2005, as amended, the ICC Termination Act of 1995, as amended, or the Federal Power Act, as amended.</w:t>
      </w:r>
    </w:p>
    <w:p>
      <w:pPr>
        <w:spacing w:after="0" w:line="205" w:lineRule="exact"/>
        <w:rPr>
          <w:sz w:val="20"/>
          <w:szCs w:val="20"/>
          <w:color w:val="auto"/>
        </w:rPr>
      </w:pPr>
    </w:p>
    <w:p>
      <w:pPr>
        <w:jc w:val="both"/>
        <w:ind w:firstLine="1513"/>
        <w:spacing w:after="0" w:line="304" w:lineRule="auto"/>
        <w:rPr>
          <w:sz w:val="20"/>
          <w:szCs w:val="20"/>
          <w:color w:val="auto"/>
        </w:rPr>
      </w:pPr>
      <w:r>
        <w:rPr>
          <w:rFonts w:ascii="Arial" w:cs="Arial" w:eastAsia="Arial" w:hAnsi="Arial"/>
          <w:sz w:val="21"/>
          <w:szCs w:val="21"/>
          <w:b w:val="1"/>
          <w:bCs w:val="1"/>
          <w:color w:val="auto"/>
        </w:rPr>
        <w:t>Section 5.18. Environmental Matters</w:t>
      </w:r>
      <w:r>
        <w:rPr>
          <w:rFonts w:ascii="Arial" w:cs="Arial" w:eastAsia="Arial" w:hAnsi="Arial"/>
          <w:sz w:val="21"/>
          <w:szCs w:val="21"/>
          <w:color w:val="auto"/>
        </w:rPr>
        <w:t>. (a) Neither any Note Party nor any Subsidiary has knowledge of any</w:t>
      </w:r>
      <w:r>
        <w:rPr>
          <w:rFonts w:ascii="Arial" w:cs="Arial" w:eastAsia="Arial" w:hAnsi="Arial"/>
          <w:sz w:val="21"/>
          <w:szCs w:val="21"/>
          <w:b w:val="1"/>
          <w:bCs w:val="1"/>
          <w:color w:val="auto"/>
        </w:rPr>
        <w:t xml:space="preserve"> </w:t>
      </w:r>
      <w:r>
        <w:rPr>
          <w:rFonts w:ascii="Arial" w:cs="Arial" w:eastAsia="Arial" w:hAnsi="Arial"/>
          <w:sz w:val="21"/>
          <w:szCs w:val="21"/>
          <w:color w:val="auto"/>
        </w:rPr>
        <w:t>claim or has received any notice of any claim and no proceeding has been instituted asserting any claim against a Note Party or any of its Subsidiaries or any of their respective real properties or other assets now or formerly owned, leased or operated by any of them, alleging any damage to the environment or violation of any Environmental Laws, except, in each case, such as could not reasonably be expected to result in a Material Adverse Effect.</w:t>
      </w:r>
    </w:p>
    <w:p>
      <w:pPr>
        <w:spacing w:after="0" w:line="205" w:lineRule="exact"/>
        <w:rPr>
          <w:sz w:val="20"/>
          <w:szCs w:val="20"/>
          <w:color w:val="auto"/>
        </w:rPr>
      </w:pPr>
    </w:p>
    <w:p>
      <w:pPr>
        <w:ind w:firstLine="832"/>
        <w:spacing w:after="0" w:line="302" w:lineRule="auto"/>
        <w:tabs>
          <w:tab w:leader="none" w:pos="1301" w:val="left"/>
        </w:tabs>
        <w:numPr>
          <w:ilvl w:val="0"/>
          <w:numId w:val="19"/>
        </w:numPr>
        <w:rPr>
          <w:rFonts w:ascii="Arial" w:cs="Arial" w:eastAsia="Arial" w:hAnsi="Arial"/>
          <w:sz w:val="22"/>
          <w:szCs w:val="22"/>
          <w:color w:val="auto"/>
        </w:rPr>
      </w:pPr>
      <w:r>
        <w:rPr>
          <w:rFonts w:ascii="Arial" w:cs="Arial" w:eastAsia="Arial" w:hAnsi="Arial"/>
          <w:sz w:val="22"/>
          <w:szCs w:val="22"/>
          <w:color w:val="auto"/>
        </w:rPr>
        <w:t>Neither any Note Party nor any Subsidiary has knowledge of any facts which would give rise to any claim, public or private, of violation of Environmental Laws or damage to the</w:t>
      </w:r>
    </w:p>
    <w:p>
      <w:pPr>
        <w:spacing w:after="0" w:line="20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14</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27" w:name="page28"/>
    <w:bookmarkEnd w:id="27"/>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environment emanating from, occurring on or in any way related to real properties now or formerly owned, leased or operated by any of them or to other assets or their use, except, in each case, such as could not, individually or in the aggregate, reasonably be expected to result in a Material Adverse Effect.</w:t>
      </w:r>
    </w:p>
    <w:p>
      <w:pPr>
        <w:spacing w:after="0" w:line="211" w:lineRule="exact"/>
        <w:rPr>
          <w:sz w:val="20"/>
          <w:szCs w:val="20"/>
          <w:color w:val="auto"/>
        </w:rPr>
      </w:pPr>
    </w:p>
    <w:p>
      <w:pPr>
        <w:jc w:val="both"/>
        <w:ind w:firstLine="832"/>
        <w:spacing w:after="0" w:line="292" w:lineRule="auto"/>
        <w:tabs>
          <w:tab w:leader="none" w:pos="1331" w:val="left"/>
        </w:tabs>
        <w:numPr>
          <w:ilvl w:val="0"/>
          <w:numId w:val="20"/>
        </w:numPr>
        <w:rPr>
          <w:rFonts w:ascii="Arial" w:cs="Arial" w:eastAsia="Arial" w:hAnsi="Arial"/>
          <w:sz w:val="22"/>
          <w:szCs w:val="22"/>
          <w:color w:val="auto"/>
        </w:rPr>
      </w:pPr>
      <w:r>
        <w:rPr>
          <w:rFonts w:ascii="Arial" w:cs="Arial" w:eastAsia="Arial" w:hAnsi="Arial"/>
          <w:sz w:val="22"/>
          <w:szCs w:val="22"/>
          <w:color w:val="auto"/>
        </w:rPr>
        <w:t>Neither any Note Party nor any Subsidiary has stored any Hazardous Materials on real properties now or formerly owned, leased or operated by any of them in a manner which is contrary to any Environmental Law that could, individually or in the aggregate, reasonably be expected to result in a Material Adverse Effect.</w:t>
      </w:r>
    </w:p>
    <w:p>
      <w:pPr>
        <w:spacing w:after="0" w:line="211" w:lineRule="exact"/>
        <w:rPr>
          <w:rFonts w:ascii="Arial" w:cs="Arial" w:eastAsia="Arial" w:hAnsi="Arial"/>
          <w:sz w:val="22"/>
          <w:szCs w:val="22"/>
          <w:color w:val="auto"/>
        </w:rPr>
      </w:pPr>
    </w:p>
    <w:p>
      <w:pPr>
        <w:jc w:val="both"/>
        <w:ind w:firstLine="832"/>
        <w:spacing w:after="0" w:line="292" w:lineRule="auto"/>
        <w:tabs>
          <w:tab w:leader="none" w:pos="1329" w:val="left"/>
        </w:tabs>
        <w:numPr>
          <w:ilvl w:val="0"/>
          <w:numId w:val="20"/>
        </w:numPr>
        <w:rPr>
          <w:rFonts w:ascii="Arial" w:cs="Arial" w:eastAsia="Arial" w:hAnsi="Arial"/>
          <w:sz w:val="22"/>
          <w:szCs w:val="22"/>
          <w:color w:val="auto"/>
        </w:rPr>
      </w:pPr>
      <w:r>
        <w:rPr>
          <w:rFonts w:ascii="Arial" w:cs="Arial" w:eastAsia="Arial" w:hAnsi="Arial"/>
          <w:sz w:val="22"/>
          <w:szCs w:val="22"/>
          <w:color w:val="auto"/>
        </w:rPr>
        <w:t>Neither any Note Party nor any Subsidiary has disposed of any Hazardous Materials in a manner which is contrary to any Environmental Law that could, individually or in the aggregate, reasonably be expected to result in a Material Adverse Effect.</w:t>
      </w:r>
    </w:p>
    <w:p>
      <w:pPr>
        <w:spacing w:after="0" w:line="211" w:lineRule="exact"/>
        <w:rPr>
          <w:rFonts w:ascii="Arial" w:cs="Arial" w:eastAsia="Arial" w:hAnsi="Arial"/>
          <w:sz w:val="22"/>
          <w:szCs w:val="22"/>
          <w:color w:val="auto"/>
        </w:rPr>
      </w:pPr>
    </w:p>
    <w:p>
      <w:pPr>
        <w:jc w:val="both"/>
        <w:ind w:firstLine="832"/>
        <w:spacing w:after="0" w:line="292" w:lineRule="auto"/>
        <w:tabs>
          <w:tab w:leader="none" w:pos="1425"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buildings on all real properties now owned, leased or operated by a Note Party or any Subsidiary are in compliance with applicable Environmental Laws, except where failure to comply could not, individually or in the aggregate, reasonably be expected to result in a Material Adverse Effect.</w:t>
      </w:r>
    </w:p>
    <w:p>
      <w:pPr>
        <w:spacing w:after="0" w:line="205" w:lineRule="exact"/>
        <w:rPr>
          <w:sz w:val="20"/>
          <w:szCs w:val="20"/>
          <w:color w:val="auto"/>
        </w:rPr>
      </w:pPr>
    </w:p>
    <w:p>
      <w:pPr>
        <w:ind w:left="1520"/>
        <w:spacing w:after="0"/>
        <w:tabs>
          <w:tab w:leader="none" w:pos="2880" w:val="left"/>
        </w:tabs>
        <w:rPr>
          <w:sz w:val="20"/>
          <w:szCs w:val="20"/>
          <w:color w:val="auto"/>
        </w:rPr>
      </w:pPr>
      <w:r>
        <w:rPr>
          <w:rFonts w:ascii="Arial" w:cs="Arial" w:eastAsia="Arial" w:hAnsi="Arial"/>
          <w:sz w:val="22"/>
          <w:szCs w:val="22"/>
          <w:b w:val="1"/>
          <w:bCs w:val="1"/>
          <w:color w:val="auto"/>
        </w:rPr>
        <w:t>Section 5.19.</w:t>
      </w:r>
      <w:r>
        <w:rPr>
          <w:sz w:val="20"/>
          <w:szCs w:val="20"/>
          <w:color w:val="auto"/>
        </w:rPr>
        <w:tab/>
      </w:r>
      <w:r>
        <w:rPr>
          <w:rFonts w:ascii="Arial" w:cs="Arial" w:eastAsia="Arial" w:hAnsi="Arial"/>
          <w:sz w:val="19"/>
          <w:szCs w:val="19"/>
          <w:b w:val="1"/>
          <w:bCs w:val="1"/>
          <w:color w:val="auto"/>
        </w:rPr>
        <w:t>Solvency</w:t>
      </w:r>
      <w:r>
        <w:rPr>
          <w:rFonts w:ascii="Arial" w:cs="Arial" w:eastAsia="Arial" w:hAnsi="Arial"/>
          <w:sz w:val="19"/>
          <w:szCs w:val="19"/>
          <w:color w:val="auto"/>
        </w:rPr>
        <w:t>. The REIT and its Consolidated Subsidiaries, on a consolidated basis are Solvent.</w:t>
      </w:r>
    </w:p>
    <w:p>
      <w:pPr>
        <w:spacing w:after="0" w:line="287" w:lineRule="exact"/>
        <w:rPr>
          <w:sz w:val="20"/>
          <w:szCs w:val="20"/>
          <w:color w:val="auto"/>
        </w:rPr>
      </w:pPr>
    </w:p>
    <w:p>
      <w:pPr>
        <w:ind w:left="1520"/>
        <w:spacing w:after="0"/>
        <w:tabs>
          <w:tab w:leader="none" w:pos="2920" w:val="left"/>
        </w:tabs>
        <w:rPr>
          <w:sz w:val="20"/>
          <w:szCs w:val="20"/>
          <w:color w:val="auto"/>
        </w:rPr>
      </w:pPr>
      <w:r>
        <w:rPr>
          <w:rFonts w:ascii="Arial" w:cs="Arial" w:eastAsia="Arial" w:hAnsi="Arial"/>
          <w:sz w:val="22"/>
          <w:szCs w:val="22"/>
          <w:b w:val="1"/>
          <w:bCs w:val="1"/>
          <w:color w:val="auto"/>
        </w:rPr>
        <w:t>Section 5.20.</w:t>
      </w:r>
      <w:r>
        <w:rPr>
          <w:sz w:val="20"/>
          <w:szCs w:val="20"/>
          <w:color w:val="auto"/>
        </w:rPr>
        <w:tab/>
      </w:r>
      <w:r>
        <w:rPr>
          <w:rFonts w:ascii="Arial" w:cs="Arial" w:eastAsia="Arial" w:hAnsi="Arial"/>
          <w:sz w:val="19"/>
          <w:szCs w:val="19"/>
          <w:b w:val="1"/>
          <w:bCs w:val="1"/>
          <w:color w:val="auto"/>
        </w:rPr>
        <w:t>Real Estate Investment Trust Status</w:t>
      </w:r>
      <w:r>
        <w:rPr>
          <w:rFonts w:ascii="Arial" w:cs="Arial" w:eastAsia="Arial" w:hAnsi="Arial"/>
          <w:sz w:val="19"/>
          <w:szCs w:val="19"/>
          <w:color w:val="auto"/>
        </w:rPr>
        <w:t>. The REIT is qualified as a Real Estate Investment Trust.</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The shares of common Equity Interests of the REIT are listed on the New York Stock Exchange.</w:t>
      </w:r>
    </w:p>
    <w:p>
      <w:pPr>
        <w:spacing w:after="0" w:line="322"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color w:val="auto"/>
        </w:rPr>
        <w:t>REPRESENTATIONS OF THE PURCHASERS</w:t>
      </w:r>
      <w:r>
        <w:rPr>
          <w:rFonts w:ascii="Arial" w:cs="Arial" w:eastAsia="Arial" w:hAnsi="Arial"/>
          <w:sz w:val="21"/>
          <w:szCs w:val="21"/>
          <w:color w:val="auto"/>
        </w:rPr>
        <w:t>.</w:t>
      </w:r>
    </w:p>
    <w:p>
      <w:pPr>
        <w:spacing w:after="0" w:line="287" w:lineRule="exact"/>
        <w:rPr>
          <w:sz w:val="20"/>
          <w:szCs w:val="20"/>
          <w:color w:val="auto"/>
        </w:rPr>
      </w:pPr>
    </w:p>
    <w:p>
      <w:pPr>
        <w:jc w:val="both"/>
        <w:ind w:firstLine="1513"/>
        <w:spacing w:after="0" w:line="337" w:lineRule="auto"/>
        <w:rPr>
          <w:sz w:val="20"/>
          <w:szCs w:val="20"/>
          <w:color w:val="auto"/>
        </w:rPr>
      </w:pPr>
      <w:r>
        <w:rPr>
          <w:rFonts w:ascii="Arial" w:cs="Arial" w:eastAsia="Arial" w:hAnsi="Arial"/>
          <w:sz w:val="19"/>
          <w:szCs w:val="19"/>
          <w:b w:val="1"/>
          <w:bCs w:val="1"/>
          <w:color w:val="auto"/>
        </w:rPr>
        <w:t>Section 6.1. Purchase for Investment; Purchase by Affiliates</w:t>
      </w:r>
      <w:r>
        <w:rPr>
          <w:rFonts w:ascii="Arial" w:cs="Arial" w:eastAsia="Arial" w:hAnsi="Arial"/>
          <w:sz w:val="19"/>
          <w:szCs w:val="19"/>
          <w:color w:val="auto"/>
        </w:rPr>
        <w:t>. (a) Each Purchaser severally represents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is purchasing the Notes for its own account or for one or more separate accounts maintained by such Purchaser or for the account of one or more pension or trust funds and not with a view to the distribution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disposition of such Purchaser’s or their property shall at all times be within such Purchaser’s or their control.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w:t>
      </w:r>
    </w:p>
    <w:p>
      <w:pPr>
        <w:spacing w:after="0" w:line="175" w:lineRule="exact"/>
        <w:rPr>
          <w:sz w:val="20"/>
          <w:szCs w:val="20"/>
          <w:color w:val="auto"/>
        </w:rPr>
      </w:pPr>
    </w:p>
    <w:p>
      <w:pPr>
        <w:jc w:val="both"/>
        <w:ind w:firstLine="1513"/>
        <w:spacing w:after="0" w:line="308" w:lineRule="auto"/>
        <w:rPr>
          <w:sz w:val="20"/>
          <w:szCs w:val="20"/>
          <w:color w:val="auto"/>
        </w:rPr>
      </w:pPr>
      <w:r>
        <w:rPr>
          <w:rFonts w:ascii="Arial" w:cs="Arial" w:eastAsia="Arial" w:hAnsi="Arial"/>
          <w:sz w:val="22"/>
          <w:szCs w:val="22"/>
          <w:b w:val="1"/>
          <w:bCs w:val="1"/>
          <w:color w:val="auto"/>
        </w:rPr>
        <w:t>Section 6.2. Source of Funds</w:t>
      </w:r>
      <w:r>
        <w:rPr>
          <w:rFonts w:ascii="Arial" w:cs="Arial" w:eastAsia="Arial" w:hAnsi="Arial"/>
          <w:sz w:val="22"/>
          <w:szCs w:val="22"/>
          <w:color w:val="auto"/>
        </w:rPr>
        <w:t>. Each Purchaser severally represents that at least one of the following statements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is an accurate representation as to each source of funds (a </w:t>
      </w:r>
      <w:r>
        <w:rPr>
          <w:rFonts w:ascii="Arial" w:cs="Arial" w:eastAsia="Arial" w:hAnsi="Arial"/>
          <w:sz w:val="22"/>
          <w:szCs w:val="22"/>
          <w:b w:val="1"/>
          <w:bCs w:val="1"/>
          <w:color w:val="auto"/>
        </w:rPr>
        <w:t>“Source”</w:t>
      </w:r>
      <w:r>
        <w:rPr>
          <w:rFonts w:ascii="Arial" w:cs="Arial" w:eastAsia="Arial" w:hAnsi="Arial"/>
          <w:sz w:val="22"/>
          <w:szCs w:val="22"/>
          <w:color w:val="auto"/>
        </w:rPr>
        <w:t>) to be</w:t>
      </w:r>
    </w:p>
    <w:p>
      <w:pPr>
        <w:spacing w:after="0" w:line="194"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15</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28" w:name="page29"/>
    <w:bookmarkEnd w:id="28"/>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used by such Purchaser to pay the purchase price of the Notes to be purchased by such Purchaser hereunder:</w:t>
      </w:r>
    </w:p>
    <w:p>
      <w:pPr>
        <w:spacing w:after="0" w:line="287" w:lineRule="exact"/>
        <w:rPr>
          <w:sz w:val="20"/>
          <w:szCs w:val="20"/>
          <w:color w:val="auto"/>
        </w:rPr>
      </w:pPr>
    </w:p>
    <w:p>
      <w:pPr>
        <w:jc w:val="both"/>
        <w:ind w:left="660" w:firstLine="1617"/>
        <w:spacing w:after="0" w:line="295" w:lineRule="exact"/>
        <w:tabs>
          <w:tab w:leader="none" w:pos="2785"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Source is an “insurance company general account” (as the term is defined in the United States Department of Labor’s Prohibited Transaction Exemption (</w:t>
      </w:r>
      <w:r>
        <w:rPr>
          <w:rFonts w:ascii="Arial" w:cs="Arial" w:eastAsia="Arial" w:hAnsi="Arial"/>
          <w:sz w:val="19"/>
          <w:szCs w:val="19"/>
          <w:b w:val="1"/>
          <w:bCs w:val="1"/>
          <w:color w:val="auto"/>
        </w:rPr>
        <w:t>“PTE”</w:t>
      </w:r>
      <w:r>
        <w:rPr>
          <w:rFonts w:ascii="Arial" w:cs="Arial" w:eastAsia="Arial" w:hAnsi="Arial"/>
          <w:sz w:val="19"/>
          <w:szCs w:val="19"/>
          <w:color w:val="auto"/>
        </w:rPr>
        <w:t>) 95</w:t>
      </w:r>
      <w:r>
        <w:rPr>
          <w:rFonts w:ascii="MS PGothic" w:cs="MS PGothic" w:eastAsia="MS PGothic" w:hAnsi="MS PGothic"/>
          <w:sz w:val="19"/>
          <w:szCs w:val="19"/>
          <w:color w:val="auto"/>
        </w:rPr>
        <w:t>‑</w:t>
      </w:r>
      <w:r>
        <w:rPr>
          <w:rFonts w:ascii="Arial" w:cs="Arial" w:eastAsia="Arial" w:hAnsi="Arial"/>
          <w:sz w:val="19"/>
          <w:szCs w:val="19"/>
          <w:color w:val="auto"/>
        </w:rPr>
        <w:t xml:space="preserve">60) in respect of which the reserves and liabilities (as defined by the annual statement for life insurance companies approved by the NAIC (the </w:t>
      </w:r>
      <w:r>
        <w:rPr>
          <w:rFonts w:ascii="Arial" w:cs="Arial" w:eastAsia="Arial" w:hAnsi="Arial"/>
          <w:sz w:val="19"/>
          <w:szCs w:val="19"/>
          <w:b w:val="1"/>
          <w:bCs w:val="1"/>
          <w:color w:val="auto"/>
        </w:rPr>
        <w:t>“NAIC Annual Statement”</w:t>
      </w:r>
      <w:r>
        <w:rPr>
          <w:rFonts w:ascii="Arial" w:cs="Arial" w:eastAsia="Arial" w:hAnsi="Arial"/>
          <w:sz w:val="19"/>
          <w:szCs w:val="19"/>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19"/>
          <w:szCs w:val="19"/>
          <w:color w:val="auto"/>
        </w:rPr>
        <w:t>‑</w:t>
      </w:r>
      <w:r>
        <w:rPr>
          <w:rFonts w:ascii="Arial" w:cs="Arial" w:eastAsia="Arial" w:hAnsi="Arial"/>
          <w:sz w:val="19"/>
          <w:szCs w:val="19"/>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67" w:lineRule="exact"/>
        <w:rPr>
          <w:rFonts w:ascii="Arial" w:cs="Arial" w:eastAsia="Arial" w:hAnsi="Arial"/>
          <w:sz w:val="19"/>
          <w:szCs w:val="19"/>
          <w:color w:val="auto"/>
        </w:rPr>
      </w:pPr>
    </w:p>
    <w:p>
      <w:pPr>
        <w:jc w:val="both"/>
        <w:ind w:left="660" w:firstLine="1617"/>
        <w:spacing w:after="0" w:line="346" w:lineRule="auto"/>
        <w:tabs>
          <w:tab w:leader="none" w:pos="2766"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71" w:lineRule="exact"/>
        <w:rPr>
          <w:rFonts w:ascii="Arial" w:cs="Arial" w:eastAsia="Arial" w:hAnsi="Arial"/>
          <w:sz w:val="19"/>
          <w:szCs w:val="19"/>
          <w:color w:val="auto"/>
        </w:rPr>
      </w:pPr>
    </w:p>
    <w:p>
      <w:pPr>
        <w:jc w:val="both"/>
        <w:ind w:left="660" w:firstLine="1617"/>
        <w:spacing w:after="0" w:line="292" w:lineRule="exact"/>
        <w:tabs>
          <w:tab w:leader="none" w:pos="2779"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Source is either (i) an insurance company pooled separate account, within the meaning of PTE 90</w:t>
      </w:r>
      <w:r>
        <w:rPr>
          <w:rFonts w:ascii="MS PGothic" w:cs="MS PGothic" w:eastAsia="MS PGothic" w:hAnsi="MS PGothic"/>
          <w:sz w:val="22"/>
          <w:szCs w:val="22"/>
          <w:color w:val="auto"/>
        </w:rPr>
        <w:t>‑</w:t>
      </w:r>
      <w:r>
        <w:rPr>
          <w:rFonts w:ascii="Arial" w:cs="Arial" w:eastAsia="Arial" w:hAnsi="Arial"/>
          <w:sz w:val="22"/>
          <w:szCs w:val="22"/>
          <w:color w:val="auto"/>
        </w:rPr>
        <w:t>1 or (ii) a bank collective investment fund, within the meaning of the PTE 91</w:t>
      </w:r>
      <w:r>
        <w:rPr>
          <w:rFonts w:ascii="MS PGothic" w:cs="MS PGothic" w:eastAsia="MS PGothic" w:hAnsi="MS PGothic"/>
          <w:sz w:val="22"/>
          <w:szCs w:val="22"/>
          <w:color w:val="auto"/>
        </w:rPr>
        <w:t>‑</w:t>
      </w:r>
      <w:r>
        <w:rPr>
          <w:rFonts w:ascii="Arial" w:cs="Arial" w:eastAsia="Arial" w:hAnsi="Arial"/>
          <w:sz w:val="22"/>
          <w:szCs w:val="22"/>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268" w:lineRule="exact"/>
        <w:rPr>
          <w:rFonts w:ascii="Arial" w:cs="Arial" w:eastAsia="Arial" w:hAnsi="Arial"/>
          <w:sz w:val="22"/>
          <w:szCs w:val="22"/>
          <w:color w:val="auto"/>
        </w:rPr>
      </w:pPr>
    </w:p>
    <w:p>
      <w:pPr>
        <w:jc w:val="both"/>
        <w:ind w:left="660" w:firstLine="1617"/>
        <w:spacing w:after="0" w:line="294" w:lineRule="exact"/>
        <w:tabs>
          <w:tab w:leader="none" w:pos="2776"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Source constitutes assets of an “investment fund” (within the meaning of Part VI of PTE 84</w:t>
      </w:r>
      <w:r>
        <w:rPr>
          <w:rFonts w:ascii="MS PGothic" w:cs="MS PGothic" w:eastAsia="MS PGothic" w:hAnsi="MS PGothic"/>
          <w:sz w:val="21"/>
          <w:szCs w:val="21"/>
          <w:color w:val="auto"/>
        </w:rPr>
        <w:t>‑</w:t>
      </w:r>
      <w:r>
        <w:rPr>
          <w:rFonts w:ascii="Arial" w:cs="Arial" w:eastAsia="Arial" w:hAnsi="Arial"/>
          <w:sz w:val="21"/>
          <w:szCs w:val="21"/>
          <w:color w:val="auto"/>
        </w:rPr>
        <w:t xml:space="preserve">14 (the </w:t>
      </w:r>
      <w:r>
        <w:rPr>
          <w:rFonts w:ascii="Arial" w:cs="Arial" w:eastAsia="Arial" w:hAnsi="Arial"/>
          <w:sz w:val="21"/>
          <w:szCs w:val="21"/>
          <w:b w:val="1"/>
          <w:bCs w:val="1"/>
          <w:color w:val="auto"/>
        </w:rPr>
        <w:t>“QPAM Exemption”</w:t>
      </w:r>
      <w:r>
        <w:rPr>
          <w:rFonts w:ascii="Arial" w:cs="Arial" w:eastAsia="Arial" w:hAnsi="Arial"/>
          <w:sz w:val="21"/>
          <w:szCs w:val="21"/>
          <w:color w:val="auto"/>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any Note Party that would cause the QPAM and such Note Party to be “related” within the meaning</w:t>
      </w:r>
    </w:p>
    <w:p>
      <w:pPr>
        <w:spacing w:after="0" w:line="273"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16</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29" w:name="page30"/>
    <w:bookmarkEnd w:id="29"/>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660"/>
        <w:spacing w:after="0" w:line="303" w:lineRule="auto"/>
        <w:rPr>
          <w:sz w:val="20"/>
          <w:szCs w:val="20"/>
          <w:color w:val="auto"/>
        </w:rPr>
      </w:pPr>
      <w:r>
        <w:rPr>
          <w:rFonts w:ascii="Arial" w:cs="Arial" w:eastAsia="Arial" w:hAnsi="Arial"/>
          <w:sz w:val="21"/>
          <w:szCs w:val="21"/>
          <w:color w:val="auto"/>
        </w:rPr>
        <w:t>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(d);or</w:t>
      </w:r>
    </w:p>
    <w:p>
      <w:pPr>
        <w:spacing w:after="0" w:line="204" w:lineRule="exact"/>
        <w:rPr>
          <w:sz w:val="20"/>
          <w:szCs w:val="20"/>
          <w:color w:val="auto"/>
        </w:rPr>
      </w:pPr>
    </w:p>
    <w:p>
      <w:pPr>
        <w:jc w:val="both"/>
        <w:ind w:left="660" w:firstLine="1617"/>
        <w:spacing w:after="0" w:line="294" w:lineRule="exact"/>
        <w:tabs>
          <w:tab w:leader="none" w:pos="2818"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Source constitutes assets of a “plan(s)” (within the meaning of Part IV(h) of PTE 96</w:t>
      </w:r>
      <w:r>
        <w:rPr>
          <w:rFonts w:ascii="MS PGothic" w:cs="MS PGothic" w:eastAsia="MS PGothic" w:hAnsi="MS PGothic"/>
          <w:sz w:val="22"/>
          <w:szCs w:val="22"/>
          <w:color w:val="auto"/>
        </w:rPr>
        <w:t>‑</w:t>
      </w:r>
      <w:r>
        <w:rPr>
          <w:rFonts w:ascii="Arial" w:cs="Arial" w:eastAsia="Arial" w:hAnsi="Arial"/>
          <w:sz w:val="22"/>
          <w:szCs w:val="22"/>
          <w:color w:val="auto"/>
        </w:rPr>
        <w:t xml:space="preserve">23 (the </w:t>
      </w:r>
      <w:r>
        <w:rPr>
          <w:rFonts w:ascii="Arial" w:cs="Arial" w:eastAsia="Arial" w:hAnsi="Arial"/>
          <w:sz w:val="22"/>
          <w:szCs w:val="22"/>
          <w:b w:val="1"/>
          <w:bCs w:val="1"/>
          <w:color w:val="auto"/>
        </w:rPr>
        <w:t>“INHAM Exemption”</w:t>
      </w:r>
      <w:r>
        <w:rPr>
          <w:rFonts w:ascii="Arial" w:cs="Arial" w:eastAsia="Arial" w:hAnsi="Arial"/>
          <w:sz w:val="22"/>
          <w:szCs w:val="22"/>
          <w:color w:val="auto"/>
        </w:rPr>
        <w:t>)) managed by an “in</w:t>
      </w:r>
      <w:r>
        <w:rPr>
          <w:rFonts w:ascii="MS PGothic" w:cs="MS PGothic" w:eastAsia="MS PGothic" w:hAnsi="MS PGothic"/>
          <w:sz w:val="22"/>
          <w:szCs w:val="22"/>
          <w:color w:val="auto"/>
        </w:rPr>
        <w:t>‑</w:t>
      </w:r>
      <w:r>
        <w:rPr>
          <w:rFonts w:ascii="Arial" w:cs="Arial" w:eastAsia="Arial" w:hAnsi="Arial"/>
          <w:sz w:val="22"/>
          <w:szCs w:val="22"/>
          <w:color w:val="auto"/>
        </w:rPr>
        <w:t>house asset manager” or “INHAM” (within the meaning of Part IV(a) of the</w:t>
      </w:r>
      <w:r>
        <w:rPr>
          <w:rFonts w:ascii="Arial" w:cs="Arial" w:eastAsia="Arial" w:hAnsi="Arial"/>
          <w:sz w:val="22"/>
          <w:szCs w:val="22"/>
          <w:b w:val="1"/>
          <w:bCs w:val="1"/>
          <w:color w:val="auto"/>
        </w:rPr>
        <w:t xml:space="preserve"> </w:t>
      </w:r>
      <w:r>
        <w:rPr>
          <w:rFonts w:ascii="Arial" w:cs="Arial" w:eastAsia="Arial" w:hAnsi="Arial"/>
          <w:sz w:val="22"/>
          <w:szCs w:val="22"/>
          <w:color w:val="auto"/>
        </w:rPr>
        <w:t>INHAM Exemption), the conditions of Part I(a), (g) and (h) of the INHAM Exemption are satisfied, neither the INHAM nor a person controlling or controlled by the INHAM (applying the definition of “control” in Part IV(d)(3) of the INHAM Exemption) owns a 10% or more interest in any Note Party and (i) the identity of such INHAM and (ii) the name(s) of the employee benefit plan(s) whose assets constitute the Source have been disclosed to the Company in writing pursuant to this clause (e); or</w:t>
      </w:r>
    </w:p>
    <w:p>
      <w:pPr>
        <w:spacing w:after="0" w:line="271" w:lineRule="exact"/>
        <w:rPr>
          <w:rFonts w:ascii="Arial" w:cs="Arial" w:eastAsia="Arial" w:hAnsi="Arial"/>
          <w:sz w:val="22"/>
          <w:szCs w:val="22"/>
          <w:color w:val="auto"/>
        </w:rPr>
      </w:pPr>
    </w:p>
    <w:p>
      <w:pPr>
        <w:ind w:left="2700" w:hanging="423"/>
        <w:spacing w:after="0"/>
        <w:tabs>
          <w:tab w:leader="none" w:pos="27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287" w:lineRule="exact"/>
        <w:rPr>
          <w:rFonts w:ascii="Arial" w:cs="Arial" w:eastAsia="Arial" w:hAnsi="Arial"/>
          <w:sz w:val="22"/>
          <w:szCs w:val="22"/>
          <w:color w:val="auto"/>
        </w:rPr>
      </w:pPr>
    </w:p>
    <w:p>
      <w:pPr>
        <w:jc w:val="both"/>
        <w:ind w:left="660" w:firstLine="1617"/>
        <w:spacing w:after="0" w:line="292" w:lineRule="auto"/>
        <w:tabs>
          <w:tab w:leader="none" w:pos="2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211" w:lineRule="exact"/>
        <w:rPr>
          <w:rFonts w:ascii="Arial" w:cs="Arial" w:eastAsia="Arial" w:hAnsi="Arial"/>
          <w:sz w:val="22"/>
          <w:szCs w:val="22"/>
          <w:color w:val="auto"/>
        </w:rPr>
      </w:pPr>
    </w:p>
    <w:p>
      <w:pPr>
        <w:ind w:left="2760" w:hanging="483"/>
        <w:spacing w:after="0"/>
        <w:tabs>
          <w:tab w:leader="none" w:pos="27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Source does not include assets of any employee benefit plan, other than a plan exempt from the</w:t>
      </w:r>
    </w:p>
    <w:p>
      <w:pPr>
        <w:spacing w:after="0" w:line="7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coverage of ERISA.</w:t>
      </w:r>
    </w:p>
    <w:p>
      <w:pPr>
        <w:spacing w:after="0" w:line="281" w:lineRule="exact"/>
        <w:rPr>
          <w:sz w:val="20"/>
          <w:szCs w:val="20"/>
          <w:color w:val="auto"/>
        </w:rPr>
      </w:pPr>
    </w:p>
    <w:p>
      <w:pPr>
        <w:spacing w:after="0" w:line="308" w:lineRule="auto"/>
        <w:rPr>
          <w:sz w:val="20"/>
          <w:szCs w:val="20"/>
          <w:color w:val="auto"/>
        </w:rPr>
      </w:pPr>
      <w:r>
        <w:rPr>
          <w:rFonts w:ascii="Arial" w:cs="Arial" w:eastAsia="Arial" w:hAnsi="Arial"/>
          <w:sz w:val="22"/>
          <w:szCs w:val="22"/>
          <w:color w:val="auto"/>
        </w:rPr>
        <w:t xml:space="preserve">As used in this Section 6.2, the terms </w:t>
      </w:r>
      <w:r>
        <w:rPr>
          <w:rFonts w:ascii="Arial" w:cs="Arial" w:eastAsia="Arial" w:hAnsi="Arial"/>
          <w:sz w:val="22"/>
          <w:szCs w:val="22"/>
          <w:b w:val="1"/>
          <w:bCs w:val="1"/>
          <w:color w:val="auto"/>
        </w:rPr>
        <w:t>“employee benefit plan,” “governmental plan,”</w:t>
      </w:r>
      <w:r>
        <w:rPr>
          <w:rFonts w:ascii="Arial" w:cs="Arial" w:eastAsia="Arial" w:hAnsi="Arial"/>
          <w:sz w:val="22"/>
          <w:szCs w:val="22"/>
          <w:color w:val="auto"/>
        </w:rPr>
        <w:t xml:space="preserve"> and </w:t>
      </w:r>
      <w:r>
        <w:rPr>
          <w:rFonts w:ascii="Arial" w:cs="Arial" w:eastAsia="Arial" w:hAnsi="Arial"/>
          <w:sz w:val="22"/>
          <w:szCs w:val="22"/>
          <w:b w:val="1"/>
          <w:bCs w:val="1"/>
          <w:color w:val="auto"/>
        </w:rPr>
        <w:t>“separate account”</w:t>
      </w:r>
      <w:r>
        <w:rPr>
          <w:rFonts w:ascii="Arial" w:cs="Arial" w:eastAsia="Arial" w:hAnsi="Arial"/>
          <w:sz w:val="22"/>
          <w:szCs w:val="22"/>
          <w:color w:val="auto"/>
        </w:rPr>
        <w:t xml:space="preserve"> shall have the respective meanings assigned to such terms in section 3 of ERISA.</w:t>
      </w:r>
    </w:p>
    <w:p>
      <w:pPr>
        <w:spacing w:after="0" w:line="229"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b w:val="1"/>
          <w:bCs w:val="1"/>
          <w:color w:val="auto"/>
        </w:rPr>
        <w:t>INFORMATION AS TO NOTE PARTIES</w:t>
      </w:r>
      <w:r>
        <w:rPr>
          <w:rFonts w:ascii="Arial" w:cs="Arial" w:eastAsia="Arial" w:hAnsi="Arial"/>
          <w:sz w:val="21"/>
          <w:szCs w:val="21"/>
          <w:color w:val="auto"/>
        </w:rPr>
        <w:t>.</w:t>
      </w:r>
    </w:p>
    <w:p>
      <w:pPr>
        <w:spacing w:after="0" w:line="287" w:lineRule="exact"/>
        <w:rPr>
          <w:sz w:val="20"/>
          <w:szCs w:val="20"/>
          <w:color w:val="auto"/>
        </w:rPr>
      </w:pPr>
    </w:p>
    <w:p>
      <w:pPr>
        <w:ind w:firstLine="1513"/>
        <w:spacing w:after="0" w:line="308" w:lineRule="auto"/>
        <w:rPr>
          <w:sz w:val="20"/>
          <w:szCs w:val="20"/>
          <w:color w:val="auto"/>
        </w:rPr>
      </w:pPr>
      <w:r>
        <w:rPr>
          <w:rFonts w:ascii="Arial" w:cs="Arial" w:eastAsia="Arial" w:hAnsi="Arial"/>
          <w:sz w:val="22"/>
          <w:szCs w:val="22"/>
          <w:b w:val="1"/>
          <w:bCs w:val="1"/>
          <w:color w:val="auto"/>
        </w:rPr>
        <w:t>Section 7.1. Financial and Business Information</w:t>
      </w:r>
      <w:r>
        <w:rPr>
          <w:rFonts w:ascii="Arial" w:cs="Arial" w:eastAsia="Arial" w:hAnsi="Arial"/>
          <w:sz w:val="22"/>
          <w:szCs w:val="22"/>
          <w:color w:val="auto"/>
        </w:rPr>
        <w:t>. The Company shall deliver to each Purchaser and each</w:t>
      </w:r>
      <w:r>
        <w:rPr>
          <w:rFonts w:ascii="Arial" w:cs="Arial" w:eastAsia="Arial" w:hAnsi="Arial"/>
          <w:sz w:val="22"/>
          <w:szCs w:val="22"/>
          <w:b w:val="1"/>
          <w:bCs w:val="1"/>
          <w:color w:val="auto"/>
        </w:rPr>
        <w:t xml:space="preserve"> </w:t>
      </w:r>
      <w:r>
        <w:rPr>
          <w:rFonts w:ascii="Arial" w:cs="Arial" w:eastAsia="Arial" w:hAnsi="Arial"/>
          <w:sz w:val="22"/>
          <w:szCs w:val="22"/>
          <w:color w:val="auto"/>
        </w:rPr>
        <w:t>holder of a Note that is an Institutional Investor:</w:t>
      </w:r>
    </w:p>
    <w:p>
      <w:pPr>
        <w:spacing w:after="0" w:line="194" w:lineRule="exact"/>
        <w:rPr>
          <w:sz w:val="20"/>
          <w:szCs w:val="20"/>
          <w:color w:val="auto"/>
        </w:rPr>
      </w:pPr>
    </w:p>
    <w:p>
      <w:pPr>
        <w:jc w:val="both"/>
        <w:ind w:left="660" w:firstLine="1617"/>
        <w:spacing w:after="0" w:line="291" w:lineRule="exact"/>
        <w:tabs>
          <w:tab w:leader="none" w:pos="2845" w:val="left"/>
        </w:tabs>
        <w:numPr>
          <w:ilvl w:val="0"/>
          <w:numId w:val="23"/>
        </w:numPr>
        <w:rPr>
          <w:rFonts w:ascii="Arial" w:cs="Arial" w:eastAsia="Arial" w:hAnsi="Arial"/>
          <w:sz w:val="22"/>
          <w:szCs w:val="22"/>
          <w:color w:val="auto"/>
        </w:rPr>
      </w:pPr>
      <w:r>
        <w:rPr>
          <w:rFonts w:ascii="Arial" w:cs="Arial" w:eastAsia="Arial" w:hAnsi="Arial"/>
          <w:sz w:val="22"/>
          <w:szCs w:val="22"/>
          <w:i w:val="1"/>
          <w:iCs w:val="1"/>
          <w:color w:val="auto"/>
        </w:rPr>
        <w:t xml:space="preserve">Quarterly Statements </w:t>
      </w:r>
      <w:r>
        <w:rPr>
          <w:rFonts w:ascii="Arial" w:cs="Arial" w:eastAsia="Arial" w:hAnsi="Arial"/>
          <w:sz w:val="22"/>
          <w:szCs w:val="22"/>
          <w:color w:val="auto"/>
        </w:rPr>
        <w:t>— within 60 days (or such shorter period as is the earlier of (x) 15 days</w:t>
      </w:r>
      <w:r>
        <w:rPr>
          <w:rFonts w:ascii="Arial" w:cs="Arial" w:eastAsia="Arial" w:hAnsi="Arial"/>
          <w:sz w:val="22"/>
          <w:szCs w:val="22"/>
          <w:i w:val="1"/>
          <w:iCs w:val="1"/>
          <w:color w:val="auto"/>
        </w:rPr>
        <w:t xml:space="preserve"> </w:t>
      </w:r>
      <w:r>
        <w:rPr>
          <w:rFonts w:ascii="Arial" w:cs="Arial" w:eastAsia="Arial" w:hAnsi="Arial"/>
          <w:sz w:val="22"/>
          <w:szCs w:val="22"/>
          <w:color w:val="auto"/>
        </w:rPr>
        <w:t>greater than the period applicable to the filing of the REIT’s Quarterly Report on Form 10</w:t>
      </w:r>
      <w:r>
        <w:rPr>
          <w:rFonts w:ascii="MS PGothic" w:cs="MS PGothic" w:eastAsia="MS PGothic" w:hAnsi="MS PGothic"/>
          <w:sz w:val="22"/>
          <w:szCs w:val="22"/>
          <w:color w:val="auto"/>
        </w:rPr>
        <w:t>‑</w:t>
      </w:r>
      <w:r>
        <w:rPr>
          <w:rFonts w:ascii="Arial" w:cs="Arial" w:eastAsia="Arial" w:hAnsi="Arial"/>
          <w:sz w:val="22"/>
          <w:szCs w:val="22"/>
          <w:color w:val="auto"/>
        </w:rPr>
        <w:t xml:space="preserve">Q (the </w:t>
      </w:r>
      <w:r>
        <w:rPr>
          <w:rFonts w:ascii="Arial" w:cs="Arial" w:eastAsia="Arial" w:hAnsi="Arial"/>
          <w:sz w:val="22"/>
          <w:szCs w:val="22"/>
          <w:b w:val="1"/>
          <w:bCs w:val="1"/>
          <w:color w:val="auto"/>
        </w:rPr>
        <w:t>“Form 10</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Q”</w:t>
      </w:r>
      <w:r>
        <w:rPr>
          <w:rFonts w:ascii="Arial" w:cs="Arial" w:eastAsia="Arial" w:hAnsi="Arial"/>
          <w:sz w:val="22"/>
          <w:szCs w:val="22"/>
          <w:color w:val="auto"/>
        </w:rPr>
        <w:t>) with the SEC regardless of whether the REIT is subject to the filing requirements thereof and (y) the date by which such financial statements</w:t>
      </w:r>
    </w:p>
    <w:p>
      <w:pPr>
        <w:spacing w:after="0" w:line="268"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17</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30" w:name="page31"/>
    <w:bookmarkEnd w:id="30"/>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620"/>
        <w:spacing w:after="0" w:line="288" w:lineRule="auto"/>
        <w:rPr>
          <w:sz w:val="20"/>
          <w:szCs w:val="20"/>
          <w:color w:val="auto"/>
        </w:rPr>
      </w:pPr>
      <w:r>
        <w:rPr>
          <w:rFonts w:ascii="Arial" w:cs="Arial" w:eastAsia="Arial" w:hAnsi="Arial"/>
          <w:sz w:val="22"/>
          <w:szCs w:val="22"/>
          <w:color w:val="auto"/>
        </w:rPr>
        <w:t>are required to be delivered under the Primary Credit Facility or the date on which such corresponding financial statements are delivered under the Primary Credit Facility if such delivery occurs earlier than such required delivery date) after the end of each quarterly fiscal period in each fiscal year of the REIT (other than the last quarterly fiscal period of each such fiscal year), duplicate copies of,</w:t>
      </w:r>
    </w:p>
    <w:p>
      <w:pPr>
        <w:spacing w:after="0" w:line="217" w:lineRule="exact"/>
        <w:rPr>
          <w:sz w:val="20"/>
          <w:szCs w:val="20"/>
          <w:color w:val="auto"/>
        </w:rPr>
      </w:pPr>
    </w:p>
    <w:p>
      <w:pPr>
        <w:ind w:left="3980" w:hanging="447"/>
        <w:spacing w:after="0"/>
        <w:tabs>
          <w:tab w:leader="none" w:pos="39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consolidated balance sheet of the Consolidated Group as at the end of such quarter,</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and</w:t>
      </w:r>
    </w:p>
    <w:p>
      <w:pPr>
        <w:spacing w:after="0" w:line="287" w:lineRule="exact"/>
        <w:rPr>
          <w:sz w:val="20"/>
          <w:szCs w:val="20"/>
          <w:color w:val="auto"/>
        </w:rPr>
      </w:pPr>
    </w:p>
    <w:p>
      <w:pPr>
        <w:jc w:val="both"/>
        <w:ind w:left="1260" w:firstLine="2273"/>
        <w:spacing w:after="0" w:line="292" w:lineRule="auto"/>
        <w:tabs>
          <w:tab w:leader="none" w:pos="4117"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consolidated statements of income or operations, changes in shareholders’ equity and cash flows of the Consolidated Group, for such quarter and (in the case of the second and third quarters) for the portion of the fiscal year ending with such quarter,</w:t>
      </w:r>
    </w:p>
    <w:p>
      <w:pPr>
        <w:spacing w:after="0" w:line="211" w:lineRule="exact"/>
        <w:rPr>
          <w:sz w:val="20"/>
          <w:szCs w:val="20"/>
          <w:color w:val="auto"/>
        </w:rPr>
      </w:pPr>
    </w:p>
    <w:p>
      <w:pPr>
        <w:jc w:val="both"/>
        <w:ind w:left="620"/>
        <w:spacing w:after="0" w:line="294" w:lineRule="exact"/>
        <w:rPr>
          <w:sz w:val="20"/>
          <w:szCs w:val="20"/>
          <w:color w:val="auto"/>
        </w:rPr>
      </w:pPr>
      <w:r>
        <w:rPr>
          <w:rFonts w:ascii="Arial" w:cs="Arial" w:eastAsia="Arial" w:hAnsi="Arial"/>
          <w:sz w:val="21"/>
          <w:szCs w:val="21"/>
          <w:color w:val="auto"/>
        </w:rPr>
        <w:t xml:space="preserve">setting forth in each case in comparative form the figures for the corresponding periods in the previous fiscal year, all in reasonable detail, prepared in accordance with GAAP applicable to quarterly financial statements generally, and certified by a Senior Financial Officer of the REIT as fairly presenting, in all material respects, the financial position of the companies being reported on and their results of operations, shareholders’ equity and cash flows, subject to changes resulting from year-end adjustments and the absence of footnotes,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delivery within the time period specified above of copies of the REIT’s Form 10</w:t>
      </w:r>
      <w:r>
        <w:rPr>
          <w:rFonts w:ascii="MS PGothic" w:cs="MS PGothic" w:eastAsia="MS PGothic" w:hAnsi="MS PGothic"/>
          <w:sz w:val="21"/>
          <w:szCs w:val="21"/>
          <w:color w:val="auto"/>
        </w:rPr>
        <w:t>‑</w:t>
      </w:r>
      <w:r>
        <w:rPr>
          <w:rFonts w:ascii="Arial" w:cs="Arial" w:eastAsia="Arial" w:hAnsi="Arial"/>
          <w:sz w:val="21"/>
          <w:szCs w:val="21"/>
          <w:color w:val="auto"/>
        </w:rPr>
        <w:t>Q prepared in compliance with the requirements therefor and filed with the SEC shall be deemed to satisfy the requirements of this Section 7.1(a);</w:t>
      </w:r>
    </w:p>
    <w:p>
      <w:pPr>
        <w:spacing w:after="0" w:line="266" w:lineRule="exact"/>
        <w:rPr>
          <w:sz w:val="20"/>
          <w:szCs w:val="20"/>
          <w:color w:val="auto"/>
        </w:rPr>
      </w:pPr>
    </w:p>
    <w:p>
      <w:pPr>
        <w:jc w:val="both"/>
        <w:ind w:left="620" w:firstLine="1617"/>
        <w:spacing w:after="0" w:line="293" w:lineRule="exact"/>
        <w:tabs>
          <w:tab w:leader="none" w:pos="2709" w:val="left"/>
        </w:tabs>
        <w:numPr>
          <w:ilvl w:val="0"/>
          <w:numId w:val="26"/>
        </w:numPr>
        <w:rPr>
          <w:rFonts w:ascii="Arial" w:cs="Arial" w:eastAsia="Arial" w:hAnsi="Arial"/>
          <w:sz w:val="21"/>
          <w:szCs w:val="21"/>
          <w:color w:val="auto"/>
        </w:rPr>
      </w:pPr>
      <w:r>
        <w:rPr>
          <w:rFonts w:ascii="Arial" w:cs="Arial" w:eastAsia="Arial" w:hAnsi="Arial"/>
          <w:sz w:val="21"/>
          <w:szCs w:val="21"/>
          <w:i w:val="1"/>
          <w:iCs w:val="1"/>
          <w:color w:val="auto"/>
        </w:rPr>
        <w:t xml:space="preserve">Annual Statements </w:t>
      </w:r>
      <w:r>
        <w:rPr>
          <w:rFonts w:ascii="Arial" w:cs="Arial" w:eastAsia="Arial" w:hAnsi="Arial"/>
          <w:sz w:val="21"/>
          <w:szCs w:val="21"/>
          <w:color w:val="auto"/>
        </w:rPr>
        <w:t>— within 105 days (or such shorter period as is the earlier of (x) 15 days greater</w:t>
      </w:r>
      <w:r>
        <w:rPr>
          <w:rFonts w:ascii="Arial" w:cs="Arial" w:eastAsia="Arial" w:hAnsi="Arial"/>
          <w:sz w:val="21"/>
          <w:szCs w:val="21"/>
          <w:i w:val="1"/>
          <w:iCs w:val="1"/>
          <w:color w:val="auto"/>
        </w:rPr>
        <w:t xml:space="preserve"> </w:t>
      </w:r>
      <w:r>
        <w:rPr>
          <w:rFonts w:ascii="Arial" w:cs="Arial" w:eastAsia="Arial" w:hAnsi="Arial"/>
          <w:sz w:val="21"/>
          <w:szCs w:val="21"/>
          <w:color w:val="auto"/>
        </w:rPr>
        <w:t>than the period applicable to the filing of the REIT’s Annual Report on Form 10</w:t>
      </w:r>
      <w:r>
        <w:rPr>
          <w:rFonts w:ascii="MS PGothic" w:cs="MS PGothic" w:eastAsia="MS PGothic" w:hAnsi="MS PGothic"/>
          <w:sz w:val="21"/>
          <w:szCs w:val="21"/>
          <w:color w:val="auto"/>
        </w:rPr>
        <w:t>‑</w:t>
      </w:r>
      <w:r>
        <w:rPr>
          <w:rFonts w:ascii="Arial" w:cs="Arial" w:eastAsia="Arial" w:hAnsi="Arial"/>
          <w:sz w:val="21"/>
          <w:szCs w:val="21"/>
          <w:color w:val="auto"/>
        </w:rPr>
        <w:t xml:space="preserve">K (the </w:t>
      </w:r>
      <w:r>
        <w:rPr>
          <w:rFonts w:ascii="Arial" w:cs="Arial" w:eastAsia="Arial" w:hAnsi="Arial"/>
          <w:sz w:val="21"/>
          <w:szCs w:val="21"/>
          <w:b w:val="1"/>
          <w:bCs w:val="1"/>
          <w:color w:val="auto"/>
        </w:rPr>
        <w:t>“Form 10</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K”</w:t>
      </w:r>
      <w:r>
        <w:rPr>
          <w:rFonts w:ascii="Arial" w:cs="Arial" w:eastAsia="Arial" w:hAnsi="Arial"/>
          <w:sz w:val="21"/>
          <w:szCs w:val="21"/>
          <w:color w:val="auto"/>
        </w:rPr>
        <w:t>) with the SEC regardless of whether the REIT is subject to the filing requirements thereof and (y) the date by which such financial statements are required to be delivered under the Primary Credit Facility or the date on which such corresponding financial statements are delivered under the Primary Credit Facility if such delivery occurs earlier than such required delivery date) after the end of each fiscal year of the REIT, duplicate copies of</w:t>
      </w:r>
    </w:p>
    <w:p>
      <w:pPr>
        <w:spacing w:after="0" w:line="269" w:lineRule="exact"/>
        <w:rPr>
          <w:rFonts w:ascii="Arial" w:cs="Arial" w:eastAsia="Arial" w:hAnsi="Arial"/>
          <w:sz w:val="21"/>
          <w:szCs w:val="21"/>
          <w:color w:val="auto"/>
        </w:rPr>
      </w:pPr>
    </w:p>
    <w:p>
      <w:pPr>
        <w:ind w:left="4020" w:hanging="487"/>
        <w:spacing w:after="0"/>
        <w:tabs>
          <w:tab w:leader="none" w:pos="4020" w:val="left"/>
        </w:tabs>
        <w:numPr>
          <w:ilvl w:val="1"/>
          <w:numId w:val="26"/>
        </w:numPr>
        <w:rPr>
          <w:rFonts w:ascii="Arial" w:cs="Arial" w:eastAsia="Arial" w:hAnsi="Arial"/>
          <w:sz w:val="19"/>
          <w:szCs w:val="19"/>
          <w:color w:val="auto"/>
        </w:rPr>
      </w:pPr>
      <w:r>
        <w:rPr>
          <w:rFonts w:ascii="Arial" w:cs="Arial" w:eastAsia="Arial" w:hAnsi="Arial"/>
          <w:sz w:val="19"/>
          <w:szCs w:val="19"/>
          <w:color w:val="auto"/>
        </w:rPr>
        <w:t>a consolidated balance sheet of the Consolidated Group as at the end of such year,</w:t>
      </w:r>
    </w:p>
    <w:p>
      <w:pPr>
        <w:spacing w:after="0" w:line="78"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87" w:lineRule="exact"/>
        <w:rPr>
          <w:rFonts w:ascii="Arial" w:cs="Arial" w:eastAsia="Arial" w:hAnsi="Arial"/>
          <w:sz w:val="19"/>
          <w:szCs w:val="19"/>
          <w:color w:val="auto"/>
        </w:rPr>
      </w:pPr>
    </w:p>
    <w:p>
      <w:pPr>
        <w:ind w:left="1260" w:firstLine="2273"/>
        <w:spacing w:after="0" w:line="302" w:lineRule="auto"/>
        <w:tabs>
          <w:tab w:leader="none" w:pos="4117" w:val="left"/>
        </w:tabs>
        <w:numPr>
          <w:ilvl w:val="1"/>
          <w:numId w:val="26"/>
        </w:numPr>
        <w:rPr>
          <w:rFonts w:ascii="Arial" w:cs="Arial" w:eastAsia="Arial" w:hAnsi="Arial"/>
          <w:sz w:val="22"/>
          <w:szCs w:val="22"/>
          <w:color w:val="auto"/>
        </w:rPr>
      </w:pPr>
      <w:r>
        <w:rPr>
          <w:rFonts w:ascii="Arial" w:cs="Arial" w:eastAsia="Arial" w:hAnsi="Arial"/>
          <w:sz w:val="22"/>
          <w:szCs w:val="22"/>
          <w:color w:val="auto"/>
        </w:rPr>
        <w:t>consolidated statements of income or operations, changes in shareholders’ equity and cash flows of the Consolidated Group for such year,</w:t>
      </w:r>
    </w:p>
    <w:p>
      <w:pPr>
        <w:spacing w:after="0" w:line="201"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18</w:t>
      </w:r>
      <w:r>
        <w:rPr>
          <w:rFonts w:ascii="MS PGothic" w:cs="MS PGothic" w:eastAsia="MS PGothic" w:hAnsi="MS PGothic"/>
          <w:sz w:val="22"/>
          <w:szCs w:val="22"/>
          <w:color w:val="auto"/>
        </w:rPr>
        <w:t>‑</w:t>
      </w:r>
    </w:p>
    <w:p>
      <w:pPr>
        <w:sectPr>
          <w:pgSz w:w="11900" w:h="16838" w:orient="portrait"/>
          <w:cols w:equalWidth="0" w:num="1">
            <w:col w:w="11380"/>
          </w:cols>
          <w:pgMar w:left="280" w:top="280" w:right="239" w:bottom="1440" w:gutter="0" w:footer="0" w:header="0"/>
        </w:sectPr>
      </w:pPr>
    </w:p>
    <w:bookmarkStart w:id="31" w:name="page32"/>
    <w:bookmarkEnd w:id="31"/>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620"/>
        <w:spacing w:after="0" w:line="295" w:lineRule="exact"/>
        <w:rPr>
          <w:sz w:val="20"/>
          <w:szCs w:val="20"/>
          <w:color w:val="auto"/>
        </w:rPr>
      </w:pPr>
      <w:r>
        <w:rPr>
          <w:rFonts w:ascii="Arial" w:cs="Arial" w:eastAsia="Arial" w:hAnsi="Arial"/>
          <w:sz w:val="21"/>
          <w:szCs w:val="21"/>
          <w:color w:val="auto"/>
        </w:rPr>
        <w:t xml:space="preserve">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(except for a qualification or an exception to the extent related to the maturity or refinancing of the loans under the Primary Credit Facility or the Notes)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delivery within the time period specified above of the REIT’s Form 10</w:t>
      </w:r>
      <w:r>
        <w:rPr>
          <w:rFonts w:ascii="MS PGothic" w:cs="MS PGothic" w:eastAsia="MS PGothic" w:hAnsi="MS PGothic"/>
          <w:sz w:val="21"/>
          <w:szCs w:val="21"/>
          <w:color w:val="auto"/>
        </w:rPr>
        <w:t>‑</w:t>
      </w:r>
      <w:r>
        <w:rPr>
          <w:rFonts w:ascii="Arial" w:cs="Arial" w:eastAsia="Arial" w:hAnsi="Arial"/>
          <w:sz w:val="21"/>
          <w:szCs w:val="21"/>
          <w:color w:val="auto"/>
        </w:rPr>
        <w:t>K for such fiscal year (together with the REIT’s annual report to shareholders, if any, prepared pursuant to Rule 14a</w:t>
      </w:r>
      <w:r>
        <w:rPr>
          <w:rFonts w:ascii="MS PGothic" w:cs="MS PGothic" w:eastAsia="MS PGothic" w:hAnsi="MS PGothic"/>
          <w:sz w:val="21"/>
          <w:szCs w:val="21"/>
          <w:color w:val="auto"/>
        </w:rPr>
        <w:t>‑</w:t>
      </w:r>
      <w:r>
        <w:rPr>
          <w:rFonts w:ascii="Arial" w:cs="Arial" w:eastAsia="Arial" w:hAnsi="Arial"/>
          <w:sz w:val="21"/>
          <w:szCs w:val="21"/>
          <w:color w:val="auto"/>
        </w:rPr>
        <w:t>3 under the Securities Exchange Act of 1934) prepared in accordance with the requirements therefor and filed with the SEC, shall be deemed to satisfy the requirements of this Section 7.1(b);</w:t>
      </w:r>
    </w:p>
    <w:p>
      <w:pPr>
        <w:spacing w:after="0" w:line="273" w:lineRule="exact"/>
        <w:rPr>
          <w:sz w:val="20"/>
          <w:szCs w:val="20"/>
          <w:color w:val="auto"/>
        </w:rPr>
      </w:pPr>
    </w:p>
    <w:p>
      <w:pPr>
        <w:jc w:val="both"/>
        <w:ind w:left="620" w:firstLine="1617"/>
        <w:spacing w:after="0" w:line="299" w:lineRule="auto"/>
        <w:tabs>
          <w:tab w:leader="none" w:pos="2737" w:val="left"/>
        </w:tabs>
        <w:numPr>
          <w:ilvl w:val="0"/>
          <w:numId w:val="27"/>
        </w:numPr>
        <w:rPr>
          <w:rFonts w:ascii="Arial" w:cs="Arial" w:eastAsia="Arial" w:hAnsi="Arial"/>
          <w:sz w:val="21"/>
          <w:szCs w:val="21"/>
          <w:color w:val="auto"/>
        </w:rPr>
      </w:pPr>
      <w:r>
        <w:rPr>
          <w:rFonts w:ascii="Arial" w:cs="Arial" w:eastAsia="Arial" w:hAnsi="Arial"/>
          <w:sz w:val="21"/>
          <w:szCs w:val="21"/>
          <w:i w:val="1"/>
          <w:iCs w:val="1"/>
          <w:color w:val="auto"/>
        </w:rPr>
        <w:t xml:space="preserve">SEC and Other Reports </w:t>
      </w:r>
      <w:r>
        <w:rPr>
          <w:rFonts w:ascii="Arial" w:cs="Arial" w:eastAsia="Arial" w:hAnsi="Arial"/>
          <w:sz w:val="21"/>
          <w:szCs w:val="21"/>
          <w:color w:val="auto"/>
        </w:rPr>
        <w:t>— promptly upon their becoming available, one copy of (i) each financial</w:t>
      </w:r>
      <w:r>
        <w:rPr>
          <w:rFonts w:ascii="Arial" w:cs="Arial" w:eastAsia="Arial" w:hAnsi="Arial"/>
          <w:sz w:val="21"/>
          <w:szCs w:val="21"/>
          <w:i w:val="1"/>
          <w:iCs w:val="1"/>
          <w:color w:val="auto"/>
        </w:rPr>
        <w:t xml:space="preserve"> </w:t>
      </w:r>
      <w:r>
        <w:rPr>
          <w:rFonts w:ascii="Arial" w:cs="Arial" w:eastAsia="Arial" w:hAnsi="Arial"/>
          <w:sz w:val="21"/>
          <w:szCs w:val="21"/>
          <w:color w:val="auto"/>
        </w:rPr>
        <w:t>statement, report, notice or proxy statement sent by any Note Party or any Subsidiary to its principal lending banks as a whole (excluding information sent to such banks in the ordinary course of administration of a bank facility, such as information relating to pricing and borrowing availability) or to its public Securities holders generally, and (ii) each regular or periodic report, each registration statement (without exhibits except as expressly requested by such Purchaser or holder), and each prospectus and all amendments thereto filed by any Note Party or any Subsidiary with the SEC and of all press releases and other statements made available generally by any Note Party or any Subsidiary to the public concerning developments that are Material;</w:t>
      </w:r>
    </w:p>
    <w:p>
      <w:pPr>
        <w:spacing w:after="0" w:line="213" w:lineRule="exact"/>
        <w:rPr>
          <w:rFonts w:ascii="Arial" w:cs="Arial" w:eastAsia="Arial" w:hAnsi="Arial"/>
          <w:sz w:val="21"/>
          <w:szCs w:val="21"/>
          <w:color w:val="auto"/>
        </w:rPr>
      </w:pPr>
    </w:p>
    <w:p>
      <w:pPr>
        <w:jc w:val="both"/>
        <w:ind w:left="620" w:firstLine="1617"/>
        <w:spacing w:after="0" w:line="341" w:lineRule="auto"/>
        <w:tabs>
          <w:tab w:leader="none" w:pos="2857"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 xml:space="preserve">Notice of Default or Event of Default </w:t>
      </w:r>
      <w:r>
        <w:rPr>
          <w:rFonts w:ascii="Arial" w:cs="Arial" w:eastAsia="Arial" w:hAnsi="Arial"/>
          <w:sz w:val="19"/>
          <w:szCs w:val="19"/>
          <w:color w:val="auto"/>
        </w:rPr>
        <w:t>— promptly, and in any event within five days after a</w:t>
      </w:r>
      <w:r>
        <w:rPr>
          <w:rFonts w:ascii="Arial" w:cs="Arial" w:eastAsia="Arial" w:hAnsi="Arial"/>
          <w:sz w:val="19"/>
          <w:szCs w:val="19"/>
          <w:i w:val="1"/>
          <w:iCs w:val="1"/>
          <w:color w:val="auto"/>
        </w:rPr>
        <w:t xml:space="preserve"> </w:t>
      </w:r>
      <w:r>
        <w:rPr>
          <w:rFonts w:ascii="Arial" w:cs="Arial" w:eastAsia="Arial" w:hAnsi="Arial"/>
          <w:sz w:val="19"/>
          <w:szCs w:val="19"/>
          <w:color w:val="auto"/>
        </w:rPr>
        <w:t>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11(f), a written notice specifying the nature and period of existence thereof and what action the Note Parties are taking or propose to take with respect thereto;</w:t>
      </w:r>
    </w:p>
    <w:p>
      <w:pPr>
        <w:spacing w:after="0" w:line="176" w:lineRule="exact"/>
        <w:rPr>
          <w:rFonts w:ascii="Arial" w:cs="Arial" w:eastAsia="Arial" w:hAnsi="Arial"/>
          <w:sz w:val="19"/>
          <w:szCs w:val="19"/>
          <w:color w:val="auto"/>
        </w:rPr>
      </w:pPr>
    </w:p>
    <w:p>
      <w:pPr>
        <w:ind w:left="620" w:firstLine="1617"/>
        <w:spacing w:after="0" w:line="302" w:lineRule="auto"/>
        <w:tabs>
          <w:tab w:leader="none" w:pos="2697"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 xml:space="preserve">ERISA Matters </w:t>
      </w:r>
      <w:r>
        <w:rPr>
          <w:rFonts w:ascii="Arial" w:cs="Arial" w:eastAsia="Arial" w:hAnsi="Arial"/>
          <w:sz w:val="22"/>
          <w:szCs w:val="22"/>
          <w:color w:val="auto"/>
        </w:rPr>
        <w:t>— promptly, and in any event within five days after a Responsible Officer becoming</w:t>
      </w:r>
      <w:r>
        <w:rPr>
          <w:rFonts w:ascii="Arial" w:cs="Arial" w:eastAsia="Arial" w:hAnsi="Arial"/>
          <w:sz w:val="22"/>
          <w:szCs w:val="22"/>
          <w:i w:val="1"/>
          <w:iCs w:val="1"/>
          <w:color w:val="auto"/>
        </w:rPr>
        <w:t xml:space="preserve"> </w:t>
      </w:r>
      <w:r>
        <w:rPr>
          <w:rFonts w:ascii="Arial" w:cs="Arial" w:eastAsia="Arial" w:hAnsi="Arial"/>
          <w:sz w:val="22"/>
          <w:szCs w:val="22"/>
          <w:color w:val="auto"/>
        </w:rPr>
        <w:t>aware of any of the following, a written notice setting forth</w:t>
      </w:r>
    </w:p>
    <w:p>
      <w:pPr>
        <w:spacing w:after="0" w:line="201"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19</w:t>
      </w:r>
      <w:r>
        <w:rPr>
          <w:rFonts w:ascii="MS PGothic" w:cs="MS PGothic" w:eastAsia="MS PGothic" w:hAnsi="MS PGothic"/>
          <w:sz w:val="22"/>
          <w:szCs w:val="22"/>
          <w:color w:val="auto"/>
        </w:rPr>
        <w:t>‑</w:t>
      </w:r>
    </w:p>
    <w:p>
      <w:pPr>
        <w:sectPr>
          <w:pgSz w:w="11900" w:h="16838" w:orient="portrait"/>
          <w:cols w:equalWidth="0" w:num="1">
            <w:col w:w="11380"/>
          </w:cols>
          <w:pgMar w:left="280" w:top="280" w:right="239" w:bottom="1440" w:gutter="0" w:footer="0" w:header="0"/>
        </w:sectPr>
      </w:pPr>
    </w:p>
    <w:bookmarkStart w:id="32" w:name="page33"/>
    <w:bookmarkEnd w:id="32"/>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the nature thereof and the action, if any, that a Note Party or an ERISA Affiliate proposes to take with respect thereto:</w:t>
      </w:r>
    </w:p>
    <w:p>
      <w:pPr>
        <w:spacing w:after="0" w:line="299" w:lineRule="exact"/>
        <w:rPr>
          <w:sz w:val="20"/>
          <w:szCs w:val="20"/>
          <w:color w:val="auto"/>
        </w:rPr>
      </w:pPr>
    </w:p>
    <w:p>
      <w:pPr>
        <w:jc w:val="both"/>
        <w:ind w:left="1260" w:firstLine="2273"/>
        <w:spacing w:after="0" w:line="292" w:lineRule="auto"/>
        <w:tabs>
          <w:tab w:leader="none" w:pos="4098" w:val="left"/>
        </w:tabs>
        <w:numPr>
          <w:ilvl w:val="1"/>
          <w:numId w:val="28"/>
        </w:numPr>
        <w:rPr>
          <w:rFonts w:ascii="Arial" w:cs="Arial" w:eastAsia="Arial" w:hAnsi="Arial"/>
          <w:sz w:val="22"/>
          <w:szCs w:val="22"/>
          <w:color w:val="auto"/>
        </w:rPr>
      </w:pPr>
      <w:r>
        <w:rPr>
          <w:rFonts w:ascii="Arial" w:cs="Arial" w:eastAsia="Arial" w:hAnsi="Arial"/>
          <w:sz w:val="22"/>
          <w:szCs w:val="22"/>
          <w:color w:val="auto"/>
        </w:rPr>
        <w:t>with respect to any Plan, any reportable event, as defined in section 4043(c) of ERISA and the regulations thereunder, for which notice thereof has not been waived pursuant to such regulations as in effect on the date hereof; or</w:t>
      </w:r>
    </w:p>
    <w:p>
      <w:pPr>
        <w:spacing w:after="0" w:line="211" w:lineRule="exact"/>
        <w:rPr>
          <w:rFonts w:ascii="Arial" w:cs="Arial" w:eastAsia="Arial" w:hAnsi="Arial"/>
          <w:sz w:val="22"/>
          <w:szCs w:val="22"/>
          <w:color w:val="auto"/>
        </w:rPr>
      </w:pPr>
    </w:p>
    <w:p>
      <w:pPr>
        <w:jc w:val="both"/>
        <w:ind w:left="1260" w:firstLine="2273"/>
        <w:spacing w:after="0" w:line="346" w:lineRule="auto"/>
        <w:tabs>
          <w:tab w:leader="none" w:pos="4052"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taking by the PBGC of steps to institute, or the threatening by the PBGC of the institution of, proceedings under section 4042 of ERISA for the termination of, or the appointment of a trustee to administer, any Plan, or the receipt by a Note Party or any ERISA Affiliate of a notice from a Multiemployer Plan that such action has been taken by the PBGC with respect to such Multiemployer Plan; or</w:t>
      </w:r>
    </w:p>
    <w:p>
      <w:pPr>
        <w:spacing w:after="0" w:line="171" w:lineRule="exact"/>
        <w:rPr>
          <w:rFonts w:ascii="Arial" w:cs="Arial" w:eastAsia="Arial" w:hAnsi="Arial"/>
          <w:sz w:val="19"/>
          <w:szCs w:val="19"/>
          <w:color w:val="auto"/>
        </w:rPr>
      </w:pPr>
    </w:p>
    <w:p>
      <w:pPr>
        <w:jc w:val="both"/>
        <w:ind w:left="1260" w:firstLine="2273"/>
        <w:spacing w:after="0" w:line="285" w:lineRule="auto"/>
        <w:tabs>
          <w:tab w:leader="none" w:pos="4075"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any event, transaction or condition that could result in the incurrence of any liability by a Note Party or any ERISA Affiliate pursuant to Title I or IV of ERISA or the penalty or excise tax provisions of the Code relating to employee benefit plans, or in the imposition of any Lien on any of the rights, properties or assets of a Note Party or any ERISA Affiliate pursuant to Title I or IV of ERISA or such penalty or excise tax provisions, if such liability or Lien, taken together with any other such liabilities or Liens then existing, could reasonably be expected to have a Material Adverse Effect;</w:t>
      </w:r>
    </w:p>
    <w:p>
      <w:pPr>
        <w:spacing w:after="0" w:line="223" w:lineRule="exact"/>
        <w:rPr>
          <w:rFonts w:ascii="Arial" w:cs="Arial" w:eastAsia="Arial" w:hAnsi="Arial"/>
          <w:sz w:val="22"/>
          <w:szCs w:val="22"/>
          <w:color w:val="auto"/>
        </w:rPr>
      </w:pPr>
    </w:p>
    <w:p>
      <w:pPr>
        <w:jc w:val="both"/>
        <w:ind w:left="620" w:firstLine="1617"/>
        <w:spacing w:after="0" w:line="357" w:lineRule="auto"/>
        <w:tabs>
          <w:tab w:leader="none" w:pos="2808"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 xml:space="preserve">Notices from Governmental Authority </w:t>
      </w:r>
      <w:r>
        <w:rPr>
          <w:rFonts w:ascii="Arial" w:cs="Arial" w:eastAsia="Arial" w:hAnsi="Arial"/>
          <w:sz w:val="19"/>
          <w:szCs w:val="19"/>
          <w:color w:val="auto"/>
        </w:rPr>
        <w:t>— promptly, and in any event within 30 days of receipt</w:t>
      </w:r>
      <w:r>
        <w:rPr>
          <w:rFonts w:ascii="Arial" w:cs="Arial" w:eastAsia="Arial" w:hAnsi="Arial"/>
          <w:sz w:val="19"/>
          <w:szCs w:val="19"/>
          <w:i w:val="1"/>
          <w:iCs w:val="1"/>
          <w:color w:val="auto"/>
        </w:rPr>
        <w:t xml:space="preserve"> </w:t>
      </w:r>
      <w:r>
        <w:rPr>
          <w:rFonts w:ascii="Arial" w:cs="Arial" w:eastAsia="Arial" w:hAnsi="Arial"/>
          <w:sz w:val="19"/>
          <w:szCs w:val="19"/>
          <w:color w:val="auto"/>
        </w:rPr>
        <w:t>thereof, copies of any notice to a Note Party or any Subsidiary from any federal or state Governmental Authority relating to any order, ruling, statute or other law or regulation that could reasonably be expected to have a Material Adverse Effect;</w:t>
      </w:r>
    </w:p>
    <w:p>
      <w:pPr>
        <w:spacing w:after="0" w:line="159" w:lineRule="exact"/>
        <w:rPr>
          <w:rFonts w:ascii="Arial" w:cs="Arial" w:eastAsia="Arial" w:hAnsi="Arial"/>
          <w:sz w:val="19"/>
          <w:szCs w:val="19"/>
          <w:color w:val="auto"/>
        </w:rPr>
      </w:pPr>
    </w:p>
    <w:p>
      <w:pPr>
        <w:jc w:val="both"/>
        <w:ind w:left="620" w:firstLine="1617"/>
        <w:spacing w:after="0" w:line="292" w:lineRule="auto"/>
        <w:tabs>
          <w:tab w:leader="none" w:pos="2749"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Resignation or Replacement of Auditors </w:t>
      </w:r>
      <w:r>
        <w:rPr>
          <w:rFonts w:ascii="Arial" w:cs="Arial" w:eastAsia="Arial" w:hAnsi="Arial"/>
          <w:sz w:val="22"/>
          <w:szCs w:val="22"/>
          <w:color w:val="auto"/>
        </w:rPr>
        <w:t>— within ten days following the date on which any Note</w:t>
      </w:r>
      <w:r>
        <w:rPr>
          <w:rFonts w:ascii="Arial" w:cs="Arial" w:eastAsia="Arial" w:hAnsi="Arial"/>
          <w:sz w:val="22"/>
          <w:szCs w:val="22"/>
          <w:i w:val="1"/>
          <w:iCs w:val="1"/>
          <w:color w:val="auto"/>
        </w:rPr>
        <w:t xml:space="preserve"> </w:t>
      </w:r>
      <w:r>
        <w:rPr>
          <w:rFonts w:ascii="Arial" w:cs="Arial" w:eastAsia="Arial" w:hAnsi="Arial"/>
          <w:sz w:val="22"/>
          <w:szCs w:val="22"/>
          <w:color w:val="auto"/>
        </w:rPr>
        <w:t>Party’s auditors resign or any Note Party elects to change auditors, as the case may be, notification thereof, together with such supporting information as the Required Holders may request;</w:t>
      </w:r>
    </w:p>
    <w:p>
      <w:pPr>
        <w:spacing w:after="0" w:line="211" w:lineRule="exact"/>
        <w:rPr>
          <w:rFonts w:ascii="Arial" w:cs="Arial" w:eastAsia="Arial" w:hAnsi="Arial"/>
          <w:sz w:val="22"/>
          <w:szCs w:val="22"/>
          <w:color w:val="auto"/>
        </w:rPr>
      </w:pPr>
    </w:p>
    <w:p>
      <w:pPr>
        <w:jc w:val="both"/>
        <w:ind w:left="620" w:firstLine="1617"/>
        <w:spacing w:after="0" w:line="303" w:lineRule="auto"/>
        <w:tabs>
          <w:tab w:leader="none" w:pos="2709" w:val="left"/>
        </w:tabs>
        <w:numPr>
          <w:ilvl w:val="0"/>
          <w:numId w:val="29"/>
        </w:numPr>
        <w:rPr>
          <w:rFonts w:ascii="Arial" w:cs="Arial" w:eastAsia="Arial" w:hAnsi="Arial"/>
          <w:sz w:val="21"/>
          <w:szCs w:val="21"/>
          <w:color w:val="auto"/>
        </w:rPr>
      </w:pPr>
      <w:r>
        <w:rPr>
          <w:rFonts w:ascii="Arial" w:cs="Arial" w:eastAsia="Arial" w:hAnsi="Arial"/>
          <w:sz w:val="21"/>
          <w:szCs w:val="21"/>
          <w:i w:val="1"/>
          <w:iCs w:val="1"/>
          <w:color w:val="auto"/>
        </w:rPr>
        <w:t xml:space="preserve">Forecasts — </w:t>
      </w:r>
      <w:r>
        <w:rPr>
          <w:rFonts w:ascii="Arial" w:cs="Arial" w:eastAsia="Arial" w:hAnsi="Arial"/>
          <w:sz w:val="21"/>
          <w:szCs w:val="21"/>
          <w:color w:val="auto"/>
        </w:rPr>
        <w:t>as soon as available, but in any event at least 15 days before the end of each fiscal year</w:t>
      </w:r>
      <w:r>
        <w:rPr>
          <w:rFonts w:ascii="Arial" w:cs="Arial" w:eastAsia="Arial" w:hAnsi="Arial"/>
          <w:sz w:val="21"/>
          <w:szCs w:val="21"/>
          <w:i w:val="1"/>
          <w:iCs w:val="1"/>
          <w:color w:val="auto"/>
        </w:rPr>
        <w:t xml:space="preserve"> </w:t>
      </w:r>
      <w:r>
        <w:rPr>
          <w:rFonts w:ascii="Arial" w:cs="Arial" w:eastAsia="Arial" w:hAnsi="Arial"/>
          <w:sz w:val="21"/>
          <w:szCs w:val="21"/>
          <w:color w:val="auto"/>
        </w:rPr>
        <w:t>of the Consolidated Group on a consolidated basis, including forecasts prepared by management of the REIT, in form reasonably satisfactory to the Required Holders (provided, that the form delivered under the Primary Credit Facility for such year shall be deemed reasonably satisfactory), of consolidated balance sheets and statements of income or operations and cash flows of the Consolidated Group on a quarterly</w:t>
      </w:r>
    </w:p>
    <w:p>
      <w:pPr>
        <w:spacing w:after="0" w:line="204"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20</w:t>
      </w:r>
      <w:r>
        <w:rPr>
          <w:rFonts w:ascii="MS PGothic" w:cs="MS PGothic" w:eastAsia="MS PGothic" w:hAnsi="MS PGothic"/>
          <w:sz w:val="22"/>
          <w:szCs w:val="22"/>
          <w:color w:val="auto"/>
        </w:rPr>
        <w:t>‑</w:t>
      </w:r>
    </w:p>
    <w:p>
      <w:pPr>
        <w:sectPr>
          <w:pgSz w:w="11900" w:h="16838" w:orient="portrait"/>
          <w:cols w:equalWidth="0" w:num="1">
            <w:col w:w="11380"/>
          </w:cols>
          <w:pgMar w:left="280" w:top="280" w:right="239" w:bottom="1440" w:gutter="0" w:footer="0" w:header="0"/>
        </w:sectPr>
      </w:pPr>
    </w:p>
    <w:bookmarkStart w:id="33" w:name="page34"/>
    <w:bookmarkEnd w:id="33"/>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right="20"/>
        <w:spacing w:after="0" w:line="302" w:lineRule="auto"/>
        <w:rPr>
          <w:sz w:val="20"/>
          <w:szCs w:val="20"/>
          <w:color w:val="auto"/>
        </w:rPr>
      </w:pPr>
      <w:r>
        <w:rPr>
          <w:rFonts w:ascii="Arial" w:cs="Arial" w:eastAsia="Arial" w:hAnsi="Arial"/>
          <w:sz w:val="22"/>
          <w:szCs w:val="22"/>
          <w:color w:val="auto"/>
        </w:rPr>
        <w:t>basis for the immediately following fiscal year (including the fiscal year in which the Maturity Date of each series of Notes occurs);</w:t>
      </w:r>
    </w:p>
    <w:p>
      <w:pPr>
        <w:spacing w:after="0" w:line="201" w:lineRule="exact"/>
        <w:rPr>
          <w:sz w:val="20"/>
          <w:szCs w:val="20"/>
          <w:color w:val="auto"/>
        </w:rPr>
      </w:pPr>
    </w:p>
    <w:p>
      <w:pPr>
        <w:jc w:val="both"/>
        <w:ind w:left="660" w:firstLine="1617"/>
        <w:spacing w:after="0" w:line="311" w:lineRule="auto"/>
        <w:tabs>
          <w:tab w:leader="none" w:pos="2795" w:val="left"/>
        </w:tabs>
        <w:numPr>
          <w:ilvl w:val="1"/>
          <w:numId w:val="30"/>
        </w:numPr>
        <w:rPr>
          <w:rFonts w:ascii="Arial" w:cs="Arial" w:eastAsia="Arial" w:hAnsi="Arial"/>
          <w:sz w:val="21"/>
          <w:szCs w:val="21"/>
          <w:color w:val="auto"/>
        </w:rPr>
      </w:pPr>
      <w:r>
        <w:rPr>
          <w:rFonts w:ascii="Arial" w:cs="Arial" w:eastAsia="Arial" w:hAnsi="Arial"/>
          <w:sz w:val="21"/>
          <w:szCs w:val="21"/>
          <w:i w:val="1"/>
          <w:iCs w:val="1"/>
          <w:color w:val="auto"/>
        </w:rPr>
        <w:t xml:space="preserve">Environmental Noncompliance — </w:t>
      </w:r>
      <w:r>
        <w:rPr>
          <w:rFonts w:ascii="Arial" w:cs="Arial" w:eastAsia="Arial" w:hAnsi="Arial"/>
          <w:sz w:val="21"/>
          <w:szCs w:val="21"/>
          <w:color w:val="auto"/>
        </w:rPr>
        <w:t>promptly after the assertion or occurrence thereof, notice of any</w:t>
      </w:r>
      <w:r>
        <w:rPr>
          <w:rFonts w:ascii="Arial" w:cs="Arial" w:eastAsia="Arial" w:hAnsi="Arial"/>
          <w:sz w:val="21"/>
          <w:szCs w:val="21"/>
          <w:i w:val="1"/>
          <w:iCs w:val="1"/>
          <w:color w:val="auto"/>
        </w:rPr>
        <w:t xml:space="preserve"> </w:t>
      </w:r>
      <w:r>
        <w:rPr>
          <w:rFonts w:ascii="Arial" w:cs="Arial" w:eastAsia="Arial" w:hAnsi="Arial"/>
          <w:sz w:val="21"/>
          <w:szCs w:val="21"/>
          <w:color w:val="auto"/>
        </w:rPr>
        <w:t>action or proceeding against or of any noncompliance by any Note Party or any of its Subsidiaries with any Environmental Laws or Environmental Permit that could reasonably be expected to have a Material Adverse Effect;</w:t>
      </w:r>
    </w:p>
    <w:p>
      <w:pPr>
        <w:spacing w:after="0" w:line="195" w:lineRule="exact"/>
        <w:rPr>
          <w:rFonts w:ascii="Arial" w:cs="Arial" w:eastAsia="Arial" w:hAnsi="Arial"/>
          <w:sz w:val="21"/>
          <w:szCs w:val="21"/>
          <w:color w:val="auto"/>
        </w:rPr>
      </w:pPr>
    </w:p>
    <w:p>
      <w:pPr>
        <w:ind w:left="660" w:firstLine="1617"/>
        <w:spacing w:after="0" w:line="302" w:lineRule="auto"/>
        <w:tabs>
          <w:tab w:leader="none" w:pos="2768" w:val="left"/>
        </w:tabs>
        <w:numPr>
          <w:ilvl w:val="1"/>
          <w:numId w:val="30"/>
        </w:numPr>
        <w:rPr>
          <w:rFonts w:ascii="Arial" w:cs="Arial" w:eastAsia="Arial" w:hAnsi="Arial"/>
          <w:sz w:val="22"/>
          <w:szCs w:val="22"/>
          <w:color w:val="auto"/>
        </w:rPr>
      </w:pPr>
      <w:r>
        <w:rPr>
          <w:rFonts w:ascii="Arial" w:cs="Arial" w:eastAsia="Arial" w:hAnsi="Arial"/>
          <w:sz w:val="22"/>
          <w:szCs w:val="22"/>
          <w:i w:val="1"/>
          <w:iCs w:val="1"/>
          <w:color w:val="auto"/>
        </w:rPr>
        <w:t xml:space="preserve">Change in Debt Rating — </w:t>
      </w:r>
      <w:r>
        <w:rPr>
          <w:rFonts w:ascii="Arial" w:cs="Arial" w:eastAsia="Arial" w:hAnsi="Arial"/>
          <w:sz w:val="22"/>
          <w:szCs w:val="22"/>
          <w:color w:val="auto"/>
        </w:rPr>
        <w:t>notice of any announcement by Moody’s, Fitch or S&amp;P of any change or</w:t>
      </w:r>
      <w:r>
        <w:rPr>
          <w:rFonts w:ascii="Arial" w:cs="Arial" w:eastAsia="Arial" w:hAnsi="Arial"/>
          <w:sz w:val="22"/>
          <w:szCs w:val="22"/>
          <w:i w:val="1"/>
          <w:iCs w:val="1"/>
          <w:color w:val="auto"/>
        </w:rPr>
        <w:t xml:space="preserve"> </w:t>
      </w:r>
      <w:r>
        <w:rPr>
          <w:rFonts w:ascii="Arial" w:cs="Arial" w:eastAsia="Arial" w:hAnsi="Arial"/>
          <w:sz w:val="22"/>
          <w:szCs w:val="22"/>
          <w:color w:val="auto"/>
        </w:rPr>
        <w:t>possible change in a corporate or corporate family debt rating of the Company or REIT;</w:t>
      </w:r>
    </w:p>
    <w:p>
      <w:pPr>
        <w:spacing w:after="0" w:line="200" w:lineRule="exact"/>
        <w:rPr>
          <w:rFonts w:ascii="Arial" w:cs="Arial" w:eastAsia="Arial" w:hAnsi="Arial"/>
          <w:sz w:val="22"/>
          <w:szCs w:val="22"/>
          <w:color w:val="auto"/>
        </w:rPr>
      </w:pPr>
    </w:p>
    <w:p>
      <w:pPr>
        <w:jc w:val="both"/>
        <w:ind w:left="660" w:firstLine="1617"/>
        <w:spacing w:after="0" w:line="357" w:lineRule="auto"/>
        <w:tabs>
          <w:tab w:leader="none" w:pos="2897" w:val="left"/>
        </w:tabs>
        <w:numPr>
          <w:ilvl w:val="1"/>
          <w:numId w:val="30"/>
        </w:numPr>
        <w:rPr>
          <w:rFonts w:ascii="Arial" w:cs="Arial" w:eastAsia="Arial" w:hAnsi="Arial"/>
          <w:sz w:val="19"/>
          <w:szCs w:val="19"/>
          <w:color w:val="auto"/>
        </w:rPr>
      </w:pPr>
      <w:r>
        <w:rPr>
          <w:rFonts w:ascii="Arial" w:cs="Arial" w:eastAsia="Arial" w:hAnsi="Arial"/>
          <w:sz w:val="19"/>
          <w:szCs w:val="19"/>
          <w:i w:val="1"/>
          <w:iCs w:val="1"/>
          <w:color w:val="auto"/>
        </w:rPr>
        <w:t xml:space="preserve">Insurance Report — </w:t>
      </w:r>
      <w:r>
        <w:rPr>
          <w:rFonts w:ascii="Arial" w:cs="Arial" w:eastAsia="Arial" w:hAnsi="Arial"/>
          <w:sz w:val="19"/>
          <w:szCs w:val="19"/>
          <w:color w:val="auto"/>
        </w:rPr>
        <w:t>as soon as available, but in any event within 30 days after the end of each</w:t>
      </w:r>
      <w:r>
        <w:rPr>
          <w:rFonts w:ascii="Arial" w:cs="Arial" w:eastAsia="Arial" w:hAnsi="Arial"/>
          <w:sz w:val="19"/>
          <w:szCs w:val="19"/>
          <w:i w:val="1"/>
          <w:iCs w:val="1"/>
          <w:color w:val="auto"/>
        </w:rPr>
        <w:t xml:space="preserve"> </w:t>
      </w:r>
      <w:r>
        <w:rPr>
          <w:rFonts w:ascii="Arial" w:cs="Arial" w:eastAsia="Arial" w:hAnsi="Arial"/>
          <w:sz w:val="19"/>
          <w:szCs w:val="19"/>
          <w:color w:val="auto"/>
        </w:rPr>
        <w:t>fiscal year of the REIT, a report summarizing the insurance coverage (specifying type, amount and carrier) in effect for each Note Party and containing such additional information as any Purchaser or holder of a Note may reasonably specify; and</w:t>
      </w:r>
    </w:p>
    <w:p>
      <w:pPr>
        <w:spacing w:after="0" w:line="159" w:lineRule="exact"/>
        <w:rPr>
          <w:rFonts w:ascii="Arial" w:cs="Arial" w:eastAsia="Arial" w:hAnsi="Arial"/>
          <w:sz w:val="19"/>
          <w:szCs w:val="19"/>
          <w:color w:val="auto"/>
        </w:rPr>
      </w:pPr>
    </w:p>
    <w:p>
      <w:pPr>
        <w:jc w:val="both"/>
        <w:ind w:left="660" w:firstLine="1617"/>
        <w:spacing w:after="0" w:line="295" w:lineRule="exact"/>
        <w:tabs>
          <w:tab w:leader="none" w:pos="2755" w:val="left"/>
        </w:tabs>
        <w:numPr>
          <w:ilvl w:val="1"/>
          <w:numId w:val="30"/>
        </w:numPr>
        <w:rPr>
          <w:rFonts w:ascii="Arial" w:cs="Arial" w:eastAsia="Arial" w:hAnsi="Arial"/>
          <w:sz w:val="19"/>
          <w:szCs w:val="19"/>
          <w:color w:val="auto"/>
        </w:rPr>
      </w:pPr>
      <w:r>
        <w:rPr>
          <w:rFonts w:ascii="Arial" w:cs="Arial" w:eastAsia="Arial" w:hAnsi="Arial"/>
          <w:sz w:val="19"/>
          <w:szCs w:val="19"/>
          <w:i w:val="1"/>
          <w:iCs w:val="1"/>
          <w:color w:val="auto"/>
        </w:rPr>
        <w:t xml:space="preserve">Requested Information </w:t>
      </w:r>
      <w:r>
        <w:rPr>
          <w:rFonts w:ascii="Arial" w:cs="Arial" w:eastAsia="Arial" w:hAnsi="Arial"/>
          <w:sz w:val="19"/>
          <w:szCs w:val="19"/>
          <w:color w:val="auto"/>
        </w:rPr>
        <w:t>— with reasonable promptness, such other data and information relating to</w:t>
      </w:r>
      <w:r>
        <w:rPr>
          <w:rFonts w:ascii="Arial" w:cs="Arial" w:eastAsia="Arial" w:hAnsi="Arial"/>
          <w:sz w:val="19"/>
          <w:szCs w:val="19"/>
          <w:i w:val="1"/>
          <w:iCs w:val="1"/>
          <w:color w:val="auto"/>
        </w:rPr>
        <w:t xml:space="preserve"> </w:t>
      </w:r>
      <w:r>
        <w:rPr>
          <w:rFonts w:ascii="Arial" w:cs="Arial" w:eastAsia="Arial" w:hAnsi="Arial"/>
          <w:sz w:val="19"/>
          <w:szCs w:val="19"/>
          <w:color w:val="auto"/>
        </w:rPr>
        <w:t>the business, operations, affairs, financial condition, assets or properties of the Note Parties or any of their Subsidiaries (including, but without limitation, actual copies of any Note Party’s Form 10</w:t>
      </w:r>
      <w:r>
        <w:rPr>
          <w:rFonts w:ascii="MS PGothic" w:cs="MS PGothic" w:eastAsia="MS PGothic" w:hAnsi="MS PGothic"/>
          <w:sz w:val="19"/>
          <w:szCs w:val="19"/>
          <w:color w:val="auto"/>
        </w:rPr>
        <w:t>‑</w:t>
      </w:r>
      <w:r>
        <w:rPr>
          <w:rFonts w:ascii="Arial" w:cs="Arial" w:eastAsia="Arial" w:hAnsi="Arial"/>
          <w:sz w:val="19"/>
          <w:szCs w:val="19"/>
          <w:color w:val="auto"/>
        </w:rPr>
        <w:t>Q and Form 10</w:t>
      </w:r>
      <w:r>
        <w:rPr>
          <w:rFonts w:ascii="MS PGothic" w:cs="MS PGothic" w:eastAsia="MS PGothic" w:hAnsi="MS PGothic"/>
          <w:sz w:val="19"/>
          <w:szCs w:val="19"/>
          <w:color w:val="auto"/>
        </w:rPr>
        <w:t>‑</w:t>
      </w:r>
      <w:r>
        <w:rPr>
          <w:rFonts w:ascii="Arial" w:cs="Arial" w:eastAsia="Arial" w:hAnsi="Arial"/>
          <w:sz w:val="19"/>
          <w:szCs w:val="19"/>
          <w:color w:val="auto"/>
        </w:rPr>
        <w:t xml:space="preserve">K) or relating to the ability of any Note Party to perform its obligations under any Note Document to which it is a party, respectively, as from time to time may be reasonably requested by any such Purchaser or holder of a Note;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set forth in Section 22.2 or as would otherwise be required to be delivered pursuant to Section 7.1(c), so long as no Default or Event of Default has occurred and is continuing, the Note Parties and their Subsidiaries shall not be required to prepare or deliver monthly financial statements or any other financial statements other than those (i) described in Section 7.1(a) and (b) above, or</w:t>
      </w:r>
    </w:p>
    <w:p>
      <w:pPr>
        <w:spacing w:after="0" w:line="24" w:lineRule="exact"/>
        <w:rPr>
          <w:rFonts w:ascii="Arial" w:cs="Arial" w:eastAsia="Arial" w:hAnsi="Arial"/>
          <w:sz w:val="19"/>
          <w:szCs w:val="19"/>
          <w:color w:val="auto"/>
        </w:rPr>
      </w:pPr>
    </w:p>
    <w:p>
      <w:pPr>
        <w:ind w:left="980" w:hanging="324"/>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included in their Form 10-Qs and Form 10-Ks.</w:t>
      </w:r>
    </w:p>
    <w:p>
      <w:pPr>
        <w:spacing w:after="0" w:line="281" w:lineRule="exact"/>
        <w:rPr>
          <w:sz w:val="20"/>
          <w:szCs w:val="20"/>
          <w:color w:val="auto"/>
        </w:rPr>
      </w:pPr>
    </w:p>
    <w:p>
      <w:pPr>
        <w:ind w:right="20" w:firstLine="1513"/>
        <w:spacing w:after="0" w:line="394" w:lineRule="auto"/>
        <w:rPr>
          <w:sz w:val="20"/>
          <w:szCs w:val="20"/>
          <w:color w:val="auto"/>
        </w:rPr>
      </w:pPr>
      <w:r>
        <w:rPr>
          <w:rFonts w:ascii="Arial" w:cs="Arial" w:eastAsia="Arial" w:hAnsi="Arial"/>
          <w:sz w:val="19"/>
          <w:szCs w:val="19"/>
          <w:b w:val="1"/>
          <w:bCs w:val="1"/>
          <w:color w:val="auto"/>
        </w:rPr>
        <w:t>Section 7.2. Officer’s Certificate</w:t>
      </w:r>
      <w:r>
        <w:rPr>
          <w:rFonts w:ascii="Arial" w:cs="Arial" w:eastAsia="Arial" w:hAnsi="Arial"/>
          <w:sz w:val="19"/>
          <w:szCs w:val="19"/>
          <w:color w:val="auto"/>
        </w:rPr>
        <w:t>. Each set of financial statements delivered to a Purchaser or holder of a Note</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Section 7.1(a) or Section 7.1(b) shall be accompanied by a certificate of a Senior Financial Officer of the REIT:</w:t>
      </w:r>
    </w:p>
    <w:p>
      <w:pPr>
        <w:spacing w:after="0" w:line="126" w:lineRule="exact"/>
        <w:rPr>
          <w:sz w:val="20"/>
          <w:szCs w:val="20"/>
          <w:color w:val="auto"/>
        </w:rPr>
      </w:pPr>
    </w:p>
    <w:p>
      <w:pPr>
        <w:jc w:val="both"/>
        <w:ind w:left="660" w:firstLine="1617"/>
        <w:spacing w:after="0" w:line="346" w:lineRule="auto"/>
        <w:tabs>
          <w:tab w:leader="none" w:pos="2912"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 xml:space="preserve">Covenant Compliance </w:t>
      </w:r>
      <w:r>
        <w:rPr>
          <w:rFonts w:ascii="Arial" w:cs="Arial" w:eastAsia="Arial" w:hAnsi="Arial"/>
          <w:sz w:val="19"/>
          <w:szCs w:val="19"/>
          <w:color w:val="auto"/>
        </w:rPr>
        <w:t>— setting forth the information from such financial statements that is</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in order to establish whether the Note Parties were in compliance with the requirements of Section 10 during the quarterly or annual period covered by the statements then being furnished, (including with respect to each such provision that involves mathematical calculations, the information from such financial statements that is required</w:t>
      </w:r>
    </w:p>
    <w:p>
      <w:pPr>
        <w:spacing w:after="0" w:line="172"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21</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34" w:name="page35"/>
    <w:bookmarkEnd w:id="34"/>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660"/>
        <w:spacing w:after="0" w:line="338" w:lineRule="auto"/>
        <w:rPr>
          <w:sz w:val="20"/>
          <w:szCs w:val="20"/>
          <w:color w:val="auto"/>
        </w:rPr>
      </w:pPr>
      <w:r>
        <w:rPr>
          <w:rFonts w:ascii="Arial" w:cs="Arial" w:eastAsia="Arial" w:hAnsi="Arial"/>
          <w:sz w:val="19"/>
          <w:szCs w:val="19"/>
          <w:color w:val="auto"/>
        </w:rPr>
        <w:t>to perform such calculations) and detailed calculations of the maximum or minimum amount, ratio or percentage, as the case may be, permissible under the terms of such Section, and the calculation of the amount, ratio or percentage then in existence. In the event that any Note Party or any Subsidiary has made an election to measure any financial liability using fair value (which election is being disregarded for purposes of determining compliance with this Agreement pursuant to Section 22.2) as to the period covered by any such financial statement, such Senior Financial Officer’s certificate as to such period shall include a reconciliation from GAAP with respect to such election; and</w:t>
      </w:r>
    </w:p>
    <w:p>
      <w:pPr>
        <w:spacing w:after="0" w:line="180" w:lineRule="exact"/>
        <w:rPr>
          <w:sz w:val="20"/>
          <w:szCs w:val="20"/>
          <w:color w:val="auto"/>
        </w:rPr>
      </w:pPr>
    </w:p>
    <w:p>
      <w:pPr>
        <w:jc w:val="both"/>
        <w:ind w:left="660" w:firstLine="1617"/>
        <w:spacing w:after="0" w:line="299" w:lineRule="auto"/>
        <w:tabs>
          <w:tab w:leader="none" w:pos="2816"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 xml:space="preserve">Event of Default </w:t>
      </w:r>
      <w:r>
        <w:rPr>
          <w:rFonts w:ascii="Arial" w:cs="Arial" w:eastAsia="Arial" w:hAnsi="Arial"/>
          <w:sz w:val="21"/>
          <w:szCs w:val="21"/>
          <w:color w:val="auto"/>
        </w:rPr>
        <w:t>— certifying that such Senior Financial Officer has reviewed the relevant terms</w:t>
      </w:r>
      <w:r>
        <w:rPr>
          <w:rFonts w:ascii="Arial" w:cs="Arial" w:eastAsia="Arial" w:hAnsi="Arial"/>
          <w:sz w:val="21"/>
          <w:szCs w:val="21"/>
          <w:i w:val="1"/>
          <w:iCs w:val="1"/>
          <w:color w:val="auto"/>
        </w:rPr>
        <w:t xml:space="preserve"> </w:t>
      </w:r>
      <w:r>
        <w:rPr>
          <w:rFonts w:ascii="Arial" w:cs="Arial" w:eastAsia="Arial" w:hAnsi="Arial"/>
          <w:sz w:val="21"/>
          <w:szCs w:val="21"/>
          <w:color w:val="auto"/>
        </w:rPr>
        <w:t>hereof and has made, or caused to be made, under his or her supervision, a review of the transactions and conditions of the Note Parties and their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any Note Party or any Subsidiary to comply with any Environmental Law), specifying the nature and period of existence thereof and what action the Note Parties shall have taken or proposes to take with respect thereto.</w:t>
      </w:r>
    </w:p>
    <w:p>
      <w:pPr>
        <w:spacing w:after="0" w:line="207" w:lineRule="exact"/>
        <w:rPr>
          <w:sz w:val="20"/>
          <w:szCs w:val="20"/>
          <w:color w:val="auto"/>
        </w:rPr>
      </w:pPr>
    </w:p>
    <w:p>
      <w:pPr>
        <w:ind w:firstLine="1513"/>
        <w:spacing w:after="0" w:line="308" w:lineRule="auto"/>
        <w:rPr>
          <w:sz w:val="20"/>
          <w:szCs w:val="20"/>
          <w:color w:val="auto"/>
        </w:rPr>
      </w:pPr>
      <w:r>
        <w:rPr>
          <w:rFonts w:ascii="Arial" w:cs="Arial" w:eastAsia="Arial" w:hAnsi="Arial"/>
          <w:sz w:val="22"/>
          <w:szCs w:val="22"/>
          <w:b w:val="1"/>
          <w:bCs w:val="1"/>
          <w:color w:val="auto"/>
        </w:rPr>
        <w:t>Section 7.3. Visitation</w:t>
      </w:r>
      <w:r>
        <w:rPr>
          <w:rFonts w:ascii="Arial" w:cs="Arial" w:eastAsia="Arial" w:hAnsi="Arial"/>
          <w:sz w:val="22"/>
          <w:szCs w:val="22"/>
          <w:color w:val="auto"/>
        </w:rPr>
        <w:t>. The Company shall, and shall cause each other Note Party to, permit the representatives</w:t>
      </w:r>
      <w:r>
        <w:rPr>
          <w:rFonts w:ascii="Arial" w:cs="Arial" w:eastAsia="Arial" w:hAnsi="Arial"/>
          <w:sz w:val="22"/>
          <w:szCs w:val="22"/>
          <w:b w:val="1"/>
          <w:bCs w:val="1"/>
          <w:color w:val="auto"/>
        </w:rPr>
        <w:t xml:space="preserve"> </w:t>
      </w:r>
      <w:r>
        <w:rPr>
          <w:rFonts w:ascii="Arial" w:cs="Arial" w:eastAsia="Arial" w:hAnsi="Arial"/>
          <w:sz w:val="22"/>
          <w:szCs w:val="22"/>
          <w:color w:val="auto"/>
        </w:rPr>
        <w:t>of each Purchaser and each holder of a Note that is an Institutional Investor:</w:t>
      </w:r>
    </w:p>
    <w:p>
      <w:pPr>
        <w:spacing w:after="0" w:line="194" w:lineRule="exact"/>
        <w:rPr>
          <w:sz w:val="20"/>
          <w:szCs w:val="20"/>
          <w:color w:val="auto"/>
        </w:rPr>
      </w:pPr>
    </w:p>
    <w:p>
      <w:pPr>
        <w:jc w:val="both"/>
        <w:ind w:left="660" w:firstLine="1617"/>
        <w:spacing w:after="0" w:line="333" w:lineRule="auto"/>
        <w:tabs>
          <w:tab w:leader="none" w:pos="2818"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 xml:space="preserve">No Default </w:t>
      </w:r>
      <w:r>
        <w:rPr>
          <w:rFonts w:ascii="Arial" w:cs="Arial" w:eastAsia="Arial" w:hAnsi="Arial"/>
          <w:sz w:val="19"/>
          <w:szCs w:val="19"/>
          <w:color w:val="auto"/>
        </w:rPr>
        <w:t>— if no Default or Event of Default then exists, at the expense of such Purchaser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such holder and upon reasonable prior notice to such Note Party, to visit the principal executive office of such Note Party, to discuss the affairs, finances and accounts of such Note Party and its Subsidiaries with each Note Party’s officers, and (with the consent of such Note Party, which consent will not be unreasonably withheld) its independent public accountants (it being understood and agreed that only one such request for a discussion with each Note Party’s independent public accountants shall be made per fiscal year by all Purchasers and such discussion shall be held on or around the end of the SAS 100 review period and that representatives of such Note Party shall be entitled to be present at any such meeting), and (with the consent of such Note Party, which consent will not be unreasonably withheld) to visit the other offices and properties of such Note Party and each Subsidiary, all at such reasonable times and as often as may be reasonably requested in writing;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only one such visit or one such discussion shall be made per fiscal year by each Purchaser;</w:t>
      </w:r>
    </w:p>
    <w:p>
      <w:pPr>
        <w:spacing w:after="0" w:line="183"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22</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35" w:name="page36"/>
    <w:bookmarkEnd w:id="35"/>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660" w:firstLine="1617"/>
        <w:spacing w:after="0" w:line="285" w:lineRule="auto"/>
        <w:tabs>
          <w:tab w:leader="none" w:pos="2749"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 if a Default or Event of Default then exists, at the expense of such Note Party to visit and</w:t>
      </w:r>
      <w:r>
        <w:rPr>
          <w:rFonts w:ascii="Arial" w:cs="Arial" w:eastAsia="Arial" w:hAnsi="Arial"/>
          <w:sz w:val="22"/>
          <w:szCs w:val="22"/>
          <w:i w:val="1"/>
          <w:iCs w:val="1"/>
          <w:color w:val="auto"/>
        </w:rPr>
        <w:t xml:space="preserve"> </w:t>
      </w:r>
      <w:r>
        <w:rPr>
          <w:rFonts w:ascii="Arial" w:cs="Arial" w:eastAsia="Arial" w:hAnsi="Arial"/>
          <w:sz w:val="22"/>
          <w:szCs w:val="22"/>
          <w:color w:val="auto"/>
        </w:rPr>
        <w:t>inspect any of the offices or properties of such Note Party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such Note Party authorizes said accountants to discuss the affairs, finances and accounts of such Note Party and its Subsidiaries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representatives of such Note Party shall be entitled to be present at any such meeting)), all at such times and as often as may be requested.</w:t>
      </w:r>
    </w:p>
    <w:p>
      <w:pPr>
        <w:spacing w:after="0" w:line="214" w:lineRule="exact"/>
        <w:rPr>
          <w:sz w:val="20"/>
          <w:szCs w:val="20"/>
          <w:color w:val="auto"/>
        </w:rPr>
      </w:pPr>
    </w:p>
    <w:p>
      <w:pPr>
        <w:ind w:firstLine="1513"/>
        <w:spacing w:after="0" w:line="329" w:lineRule="auto"/>
        <w:rPr>
          <w:sz w:val="20"/>
          <w:szCs w:val="20"/>
          <w:color w:val="auto"/>
        </w:rPr>
      </w:pPr>
      <w:r>
        <w:rPr>
          <w:rFonts w:ascii="Arial" w:cs="Arial" w:eastAsia="Arial" w:hAnsi="Arial"/>
          <w:sz w:val="19"/>
          <w:szCs w:val="19"/>
          <w:b w:val="1"/>
          <w:bCs w:val="1"/>
          <w:color w:val="auto"/>
        </w:rPr>
        <w:t>Section 7.4. Electronic Delivery</w:t>
      </w:r>
      <w:r>
        <w:rPr>
          <w:rFonts w:ascii="Arial" w:cs="Arial" w:eastAsia="Arial" w:hAnsi="Arial"/>
          <w:sz w:val="19"/>
          <w:szCs w:val="19"/>
          <w:color w:val="auto"/>
        </w:rPr>
        <w:t>. Financial statements, opinions of independent certified public accountants,</w:t>
      </w:r>
      <w:r>
        <w:rPr>
          <w:rFonts w:ascii="Arial" w:cs="Arial" w:eastAsia="Arial" w:hAnsi="Arial"/>
          <w:sz w:val="19"/>
          <w:szCs w:val="19"/>
          <w:b w:val="1"/>
          <w:bCs w:val="1"/>
          <w:color w:val="auto"/>
        </w:rPr>
        <w:t xml:space="preserve"> </w:t>
      </w:r>
      <w:r>
        <w:rPr>
          <w:rFonts w:ascii="Arial" w:cs="Arial" w:eastAsia="Arial" w:hAnsi="Arial"/>
          <w:sz w:val="19"/>
          <w:szCs w:val="19"/>
          <w:color w:val="auto"/>
        </w:rPr>
        <w:t>other information and Officer’s Certificates that are required to be delivered by the Note Parties pursuant to Sections 7.1(a), (b) or</w:t>
      </w:r>
    </w:p>
    <w:p>
      <w:pPr>
        <w:spacing w:after="0" w:line="1" w:lineRule="exact"/>
        <w:rPr>
          <w:sz w:val="20"/>
          <w:szCs w:val="20"/>
          <w:color w:val="auto"/>
        </w:rPr>
      </w:pPr>
    </w:p>
    <w:p>
      <w:pPr>
        <w:ind w:right="20" w:firstLine="8"/>
        <w:spacing w:after="0" w:line="302" w:lineRule="auto"/>
        <w:tabs>
          <w:tab w:leader="none" w:pos="325"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and Section 7.2 shall be deemed to have been delivered if the Note Parties satisfy any of the following requirements with respect thereto:</w:t>
      </w:r>
    </w:p>
    <w:p>
      <w:pPr>
        <w:spacing w:after="0" w:line="200" w:lineRule="exact"/>
        <w:rPr>
          <w:rFonts w:ascii="Arial" w:cs="Arial" w:eastAsia="Arial" w:hAnsi="Arial"/>
          <w:sz w:val="22"/>
          <w:szCs w:val="22"/>
          <w:color w:val="auto"/>
        </w:rPr>
      </w:pPr>
    </w:p>
    <w:p>
      <w:pPr>
        <w:ind w:left="660" w:right="20" w:firstLine="1509"/>
        <w:spacing w:after="0" w:line="387" w:lineRule="auto"/>
        <w:tabs>
          <w:tab w:leader="none" w:pos="2682" w:val="left"/>
        </w:tabs>
        <w:numPr>
          <w:ilvl w:val="1"/>
          <w:numId w:val="36"/>
        </w:numPr>
        <w:rPr>
          <w:rFonts w:ascii="Arial" w:cs="Arial" w:eastAsia="Arial" w:hAnsi="Arial"/>
          <w:sz w:val="19"/>
          <w:szCs w:val="19"/>
          <w:color w:val="auto"/>
        </w:rPr>
      </w:pPr>
      <w:r>
        <w:rPr>
          <w:rFonts w:ascii="Arial" w:cs="Arial" w:eastAsia="Arial" w:hAnsi="Arial"/>
          <w:sz w:val="19"/>
          <w:szCs w:val="19"/>
          <w:color w:val="auto"/>
        </w:rPr>
        <w:t>such financial statements satisfying the requirements of Section 7.1(a) or (b) and related Officer’s Certificate satisfying the requirements of Section 7.2 are delivered to each Purchaser or holder of a Note by e-mail;</w:t>
      </w:r>
    </w:p>
    <w:p>
      <w:pPr>
        <w:spacing w:after="0" w:line="132" w:lineRule="exact"/>
        <w:rPr>
          <w:rFonts w:ascii="Arial" w:cs="Arial" w:eastAsia="Arial" w:hAnsi="Arial"/>
          <w:sz w:val="19"/>
          <w:szCs w:val="19"/>
          <w:color w:val="auto"/>
        </w:rPr>
      </w:pPr>
    </w:p>
    <w:p>
      <w:pPr>
        <w:jc w:val="both"/>
        <w:ind w:left="660" w:firstLine="1509"/>
        <w:spacing w:after="0" w:line="306" w:lineRule="auto"/>
        <w:tabs>
          <w:tab w:leader="none" w:pos="2761"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the REIT shall have timely filed such Form 10–Q or Form 10–K, satisfying the requirements of Section 7.1(a) or Section 7.1(b), as the case may be, with the SEC on EDGAR and the Company shall have made such form and the related Officer’s Certificate satisfying the requirements of Section 7.2 available on its home page on the internet, which is located atwww.americanassetstrust.com as of the date of this Agreement;</w:t>
      </w:r>
    </w:p>
    <w:p>
      <w:pPr>
        <w:spacing w:after="0" w:line="199" w:lineRule="exact"/>
        <w:rPr>
          <w:rFonts w:ascii="Arial" w:cs="Arial" w:eastAsia="Arial" w:hAnsi="Arial"/>
          <w:sz w:val="21"/>
          <w:szCs w:val="21"/>
          <w:color w:val="auto"/>
        </w:rPr>
      </w:pPr>
    </w:p>
    <w:p>
      <w:pPr>
        <w:jc w:val="both"/>
        <w:ind w:left="660" w:firstLine="1509"/>
        <w:spacing w:after="0" w:line="311" w:lineRule="auto"/>
        <w:tabs>
          <w:tab w:leader="none" w:pos="2741" w:val="left"/>
        </w:tabs>
        <w:numPr>
          <w:ilvl w:val="1"/>
          <w:numId w:val="36"/>
        </w:numPr>
        <w:rPr>
          <w:rFonts w:ascii="Arial" w:cs="Arial" w:eastAsia="Arial" w:hAnsi="Arial"/>
          <w:sz w:val="21"/>
          <w:szCs w:val="21"/>
          <w:color w:val="auto"/>
        </w:rPr>
      </w:pPr>
      <w:r>
        <w:rPr>
          <w:rFonts w:ascii="Arial" w:cs="Arial" w:eastAsia="Arial" w:hAnsi="Arial"/>
          <w:sz w:val="21"/>
          <w:szCs w:val="21"/>
          <w:color w:val="auto"/>
        </w:rPr>
        <w:t>such financial statements satisfying the requirements of Section 7.1(a) or Section 7.1(b) and related Officer’s Certificate(s) satisfying the requirements of Section 7.2 are timely posted by or on behalf of the Note Parties on IntraLinks or on any other similar website to which each holder of Notes has free access; or</w:t>
      </w:r>
    </w:p>
    <w:p>
      <w:pPr>
        <w:spacing w:after="0" w:line="195" w:lineRule="exact"/>
        <w:rPr>
          <w:rFonts w:ascii="Arial" w:cs="Arial" w:eastAsia="Arial" w:hAnsi="Arial"/>
          <w:sz w:val="21"/>
          <w:szCs w:val="21"/>
          <w:color w:val="auto"/>
        </w:rPr>
      </w:pPr>
    </w:p>
    <w:p>
      <w:pPr>
        <w:jc w:val="both"/>
        <w:ind w:left="660" w:firstLine="1509"/>
        <w:spacing w:after="0" w:line="292" w:lineRule="auto"/>
        <w:tabs>
          <w:tab w:leader="none" w:pos="2703"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REIT shall have filed any of the items referred to in Section 7.1(c) with the SEC on EDGAR and the Company shall have made such items available on its home page on the internet or on IntraLinks or on any other similar website to which each holder of Notes has free access;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in the case of any of clauses (ii), (iii) or (iv), the Company shall have given each holder of a Note prior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written notice, which may be by e-mail or in accordance with Section 18, of such posting or filing in connection with each delivery, </w:t>
      </w:r>
      <w:r>
        <w:rPr>
          <w:rFonts w:ascii="Arial" w:cs="Arial" w:eastAsia="Arial" w:hAnsi="Arial"/>
          <w:sz w:val="22"/>
          <w:szCs w:val="22"/>
          <w:i w:val="1"/>
          <w:iCs w:val="1"/>
          <w:color w:val="auto"/>
        </w:rPr>
        <w:t xml:space="preserve">provided further, </w:t>
      </w:r>
      <w:r>
        <w:rPr>
          <w:rFonts w:ascii="Arial" w:cs="Arial" w:eastAsia="Arial" w:hAnsi="Arial"/>
          <w:sz w:val="22"/>
          <w:szCs w:val="22"/>
          <w:color w:val="auto"/>
        </w:rPr>
        <w:t>that upon request of any holder to receive paper copies of such forms, financial statements and Officer’s</w:t>
      </w:r>
      <w:r>
        <w:rPr>
          <w:rFonts w:ascii="Arial" w:cs="Arial" w:eastAsia="Arial" w:hAnsi="Arial"/>
          <w:sz w:val="22"/>
          <w:szCs w:val="22"/>
          <w:i w:val="1"/>
          <w:iCs w:val="1"/>
          <w:color w:val="auto"/>
        </w:rPr>
        <w:t xml:space="preserve"> </w:t>
      </w:r>
      <w:r>
        <w:rPr>
          <w:rFonts w:ascii="Arial" w:cs="Arial" w:eastAsia="Arial" w:hAnsi="Arial"/>
          <w:sz w:val="22"/>
          <w:szCs w:val="22"/>
          <w:color w:val="auto"/>
        </w:rPr>
        <w:t>Certificates</w:t>
      </w:r>
    </w:p>
    <w:p>
      <w:pPr>
        <w:spacing w:after="0" w:line="217"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23</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36" w:name="page37"/>
    <w:bookmarkEnd w:id="36"/>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or to receive them by e-mail, the Company will promptly e-mail them or deliver such paper copies, as the case may be, to such holder.</w:t>
      </w:r>
    </w:p>
    <w:p>
      <w:pPr>
        <w:spacing w:after="0" w:line="235"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1"/>
          <w:szCs w:val="21"/>
          <w:b w:val="1"/>
          <w:bCs w:val="1"/>
          <w:color w:val="auto"/>
        </w:rPr>
        <w:t>PAYMENT AND PREPAYMENT OF THE NOTES</w:t>
      </w:r>
      <w:r>
        <w:rPr>
          <w:rFonts w:ascii="Arial" w:cs="Arial" w:eastAsia="Arial" w:hAnsi="Arial"/>
          <w:sz w:val="21"/>
          <w:szCs w:val="21"/>
          <w:color w:val="auto"/>
        </w:rPr>
        <w:t>.</w:t>
      </w:r>
    </w:p>
    <w:p>
      <w:pPr>
        <w:spacing w:after="0" w:line="287" w:lineRule="exact"/>
        <w:rPr>
          <w:sz w:val="20"/>
          <w:szCs w:val="20"/>
          <w:color w:val="auto"/>
        </w:rPr>
      </w:pPr>
    </w:p>
    <w:p>
      <w:pPr>
        <w:jc w:val="both"/>
        <w:ind w:firstLine="1513"/>
        <w:spacing w:after="0" w:line="308" w:lineRule="auto"/>
        <w:rPr>
          <w:sz w:val="20"/>
          <w:szCs w:val="20"/>
          <w:color w:val="auto"/>
        </w:rPr>
      </w:pPr>
      <w:r>
        <w:rPr>
          <w:rFonts w:ascii="Arial" w:cs="Arial" w:eastAsia="Arial" w:hAnsi="Arial"/>
          <w:sz w:val="22"/>
          <w:szCs w:val="22"/>
          <w:b w:val="1"/>
          <w:bCs w:val="1"/>
          <w:color w:val="auto"/>
        </w:rPr>
        <w:t>Section 8.1. Maturity</w:t>
      </w:r>
      <w:r>
        <w:rPr>
          <w:rFonts w:ascii="Arial" w:cs="Arial" w:eastAsia="Arial" w:hAnsi="Arial"/>
          <w:sz w:val="22"/>
          <w:szCs w:val="22"/>
          <w:color w:val="auto"/>
        </w:rPr>
        <w:t>. As provided therein, the entire unpaid principal balance of each series of the Notes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due and payable on the Maturity Date thereof.</w:t>
      </w:r>
    </w:p>
    <w:p>
      <w:pPr>
        <w:spacing w:after="0" w:line="188" w:lineRule="exact"/>
        <w:rPr>
          <w:sz w:val="20"/>
          <w:szCs w:val="20"/>
          <w:color w:val="auto"/>
        </w:rPr>
      </w:pPr>
    </w:p>
    <w:p>
      <w:pPr>
        <w:jc w:val="both"/>
        <w:ind w:firstLine="1513"/>
        <w:spacing w:after="0" w:line="331" w:lineRule="auto"/>
        <w:rPr>
          <w:sz w:val="20"/>
          <w:szCs w:val="20"/>
          <w:color w:val="auto"/>
        </w:rPr>
      </w:pPr>
      <w:r>
        <w:rPr>
          <w:rFonts w:ascii="Arial" w:cs="Arial" w:eastAsia="Arial" w:hAnsi="Arial"/>
          <w:sz w:val="19"/>
          <w:szCs w:val="19"/>
          <w:b w:val="1"/>
          <w:bCs w:val="1"/>
          <w:color w:val="auto"/>
        </w:rPr>
        <w:t>Section 8.2. Optional Prepayments with Make-Whole Amount</w:t>
      </w:r>
      <w:r>
        <w:rPr>
          <w:rFonts w:ascii="Arial" w:cs="Arial" w:eastAsia="Arial" w:hAnsi="Arial"/>
          <w:sz w:val="19"/>
          <w:szCs w:val="19"/>
          <w:color w:val="auto"/>
        </w:rPr>
        <w:t>. (a) The Company may, at its option, upon</w:t>
      </w:r>
      <w:r>
        <w:rPr>
          <w:rFonts w:ascii="Arial" w:cs="Arial" w:eastAsia="Arial" w:hAnsi="Arial"/>
          <w:sz w:val="19"/>
          <w:szCs w:val="19"/>
          <w:b w:val="1"/>
          <w:bCs w:val="1"/>
          <w:color w:val="auto"/>
        </w:rPr>
        <w:t xml:space="preserve"> </w:t>
      </w:r>
      <w:r>
        <w:rPr>
          <w:rFonts w:ascii="Arial" w:cs="Arial" w:eastAsia="Arial" w:hAnsi="Arial"/>
          <w:sz w:val="19"/>
          <w:szCs w:val="19"/>
          <w:color w:val="auto"/>
        </w:rPr>
        <w:t>notice as provided below, prepay at any time all, or from time to time any part of, any series of Notes, in an amount not less than 5% of the aggregate principal amount of any series of Notes then outstanding in the case of a partial prepayment, at 100% of the principal amount so prepaid, and the Make-Whole Amount determined for the prepayment date with respect to such principal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Make-Whole Amount shall be due if such Notes are prepaid during the last sixty (60) days of the term of such Notes). The Company will give each holder of Notes written notice of each optional prepayment under this Section 8.2 not less than ten days and not more than 60 days prior to the date fixed for such prepayment unless the Company and the holders of more than 50% of the principal amount of the Notes of such series to be prepaid then outstanding agree to another time period pursuant to Section 17. Each such notice shall specify such date (which shall be a Business Day), the aggregate principal amount of such series of Notes to be prepaid on such date, the principal amount of each Note of such series held by such holder to be prepaid (determined in accordance with Section 8.3), and the interest to be paid on the prepayment date with respect to such principal amount being prepaid, and shall be accompanied by a certificate of a Senior Financial Officer as to the estimated Make-Whole Amount (if any) for each series due in connection with such prepayment (calculated as if the date of such notice were the date of the prepayment), setting forth the details of such computation. Two Business Days prior to such prepayment, the Company shall deliver to each holder of Notes a certificate of a Senior Financial Officer specifying the calculation of such Make-Whole Amount as of the specified prepayment date.</w:t>
      </w:r>
    </w:p>
    <w:p>
      <w:pPr>
        <w:spacing w:after="0" w:line="200" w:lineRule="exact"/>
        <w:rPr>
          <w:sz w:val="20"/>
          <w:szCs w:val="20"/>
          <w:color w:val="auto"/>
        </w:rPr>
      </w:pPr>
    </w:p>
    <w:p>
      <w:pPr>
        <w:spacing w:after="0" w:line="283" w:lineRule="exact"/>
        <w:rPr>
          <w:sz w:val="20"/>
          <w:szCs w:val="20"/>
          <w:color w:val="auto"/>
        </w:rPr>
      </w:pPr>
    </w:p>
    <w:p>
      <w:pPr>
        <w:jc w:val="both"/>
        <w:ind w:firstLine="832"/>
        <w:spacing w:after="0" w:line="288" w:lineRule="auto"/>
        <w:tabs>
          <w:tab w:leader="none" w:pos="1367" w:val="left"/>
        </w:tabs>
        <w:numPr>
          <w:ilvl w:val="0"/>
          <w:numId w:val="37"/>
        </w:numPr>
        <w:rPr>
          <w:rFonts w:ascii="Arial" w:cs="Arial" w:eastAsia="Arial" w:hAnsi="Arial"/>
          <w:sz w:val="22"/>
          <w:szCs w:val="22"/>
          <w:color w:val="auto"/>
        </w:rPr>
      </w:pPr>
      <w:r>
        <w:rPr>
          <w:rFonts w:ascii="Arial" w:cs="Arial" w:eastAsia="Arial" w:hAnsi="Arial"/>
          <w:sz w:val="22"/>
          <w:szCs w:val="22"/>
          <w:color w:val="auto"/>
        </w:rPr>
        <w:t>Notwithstanding anything contained in this Section 8.2 to the contrary, if and so long as any Default or Event of Default shall have occurred and be continuing, any partial prepayment of the Notes pursuant to the provisions of Section 8.2(a) shall be allocated among all of the Notes of all series at the time outstanding in proportion, as nearly as practicable, to the respective unpaid principal amounts thereof.</w:t>
      </w:r>
    </w:p>
    <w:p>
      <w:pPr>
        <w:spacing w:after="0" w:line="211" w:lineRule="exact"/>
        <w:rPr>
          <w:sz w:val="20"/>
          <w:szCs w:val="20"/>
          <w:color w:val="auto"/>
        </w:rPr>
      </w:pPr>
    </w:p>
    <w:p>
      <w:pPr>
        <w:jc w:val="both"/>
        <w:ind w:firstLine="1513"/>
        <w:spacing w:after="0" w:line="294" w:lineRule="auto"/>
        <w:rPr>
          <w:sz w:val="20"/>
          <w:szCs w:val="20"/>
          <w:color w:val="auto"/>
        </w:rPr>
      </w:pPr>
      <w:r>
        <w:rPr>
          <w:rFonts w:ascii="Arial" w:cs="Arial" w:eastAsia="Arial" w:hAnsi="Arial"/>
          <w:sz w:val="22"/>
          <w:szCs w:val="22"/>
          <w:b w:val="1"/>
          <w:bCs w:val="1"/>
          <w:color w:val="auto"/>
        </w:rPr>
        <w:t>Section 8.3. Allocation of Partial Prepayments</w:t>
      </w:r>
      <w:r>
        <w:rPr>
          <w:rFonts w:ascii="Arial" w:cs="Arial" w:eastAsia="Arial" w:hAnsi="Arial"/>
          <w:sz w:val="22"/>
          <w:szCs w:val="22"/>
          <w:color w:val="auto"/>
        </w:rPr>
        <w:t>. (a) In the case of each partial prepayment of a series of Notes</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8.2(a), the principal amount of the Notes of such series to be prepaid shall be allocated among all of the Notes of such series at the time outstanding in</w:t>
      </w:r>
    </w:p>
    <w:p>
      <w:pPr>
        <w:spacing w:after="0" w:line="21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24</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37" w:name="page38"/>
    <w:bookmarkEnd w:id="37"/>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auto"/>
        </w:rPr>
        <w:t>proportion, as nearly as practicable, to the respective unpaid principal amounts thereof not theretofore called for prepayment.</w:t>
      </w:r>
    </w:p>
    <w:p>
      <w:pPr>
        <w:spacing w:after="0" w:line="322" w:lineRule="exact"/>
        <w:rPr>
          <w:sz w:val="20"/>
          <w:szCs w:val="20"/>
          <w:color w:val="auto"/>
        </w:rPr>
      </w:pPr>
    </w:p>
    <w:p>
      <w:pPr>
        <w:jc w:val="both"/>
        <w:ind w:right="20" w:firstLine="832"/>
        <w:spacing w:after="0" w:line="357" w:lineRule="auto"/>
        <w:tabs>
          <w:tab w:leader="none" w:pos="1350"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the case of each partial prepayment of a series of Notes pursuant to Section 8.2(b), the principal amount of the Notes to be prepaid shall be allocated among all of the Notes regardless of series at the time outstanding in proportion, as nearly as practicable, to the respective unpaid principal amounts thereof not theretofore called for prepayment.</w:t>
      </w:r>
    </w:p>
    <w:p>
      <w:pPr>
        <w:spacing w:after="0" w:line="159" w:lineRule="exact"/>
        <w:rPr>
          <w:rFonts w:ascii="Arial" w:cs="Arial" w:eastAsia="Arial" w:hAnsi="Arial"/>
          <w:sz w:val="19"/>
          <w:szCs w:val="19"/>
          <w:color w:val="auto"/>
        </w:rPr>
      </w:pPr>
    </w:p>
    <w:p>
      <w:pPr>
        <w:ind w:firstLine="832"/>
        <w:spacing w:after="0" w:line="302" w:lineRule="auto"/>
        <w:tabs>
          <w:tab w:leader="none" w:pos="1308"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Any prepayments pursuant to Section 8.7 shall be applied only to the Notes of the holders electing to participate in such prepayment.</w:t>
      </w:r>
    </w:p>
    <w:p>
      <w:pPr>
        <w:spacing w:after="0" w:line="195" w:lineRule="exact"/>
        <w:rPr>
          <w:sz w:val="20"/>
          <w:szCs w:val="20"/>
          <w:color w:val="auto"/>
        </w:rPr>
      </w:pPr>
    </w:p>
    <w:p>
      <w:pPr>
        <w:jc w:val="both"/>
        <w:ind w:firstLine="1513"/>
        <w:spacing w:after="0" w:line="301" w:lineRule="auto"/>
        <w:rPr>
          <w:sz w:val="20"/>
          <w:szCs w:val="20"/>
          <w:color w:val="auto"/>
        </w:rPr>
      </w:pPr>
      <w:r>
        <w:rPr>
          <w:rFonts w:ascii="Arial" w:cs="Arial" w:eastAsia="Arial" w:hAnsi="Arial"/>
          <w:sz w:val="21"/>
          <w:szCs w:val="21"/>
          <w:b w:val="1"/>
          <w:bCs w:val="1"/>
          <w:color w:val="auto"/>
        </w:rPr>
        <w:t>Section 8.4. Maturity; Surrender, Etc</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In the case of each optional prepayment of Notes pursuant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8, the principal amount of each Note to be prepaid shall mature and become due and payable on the date fixed for such prepayment, 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w:t>
      </w:r>
    </w:p>
    <w:p>
      <w:pPr>
        <w:spacing w:after="0" w:line="203" w:lineRule="exact"/>
        <w:rPr>
          <w:sz w:val="20"/>
          <w:szCs w:val="20"/>
          <w:color w:val="auto"/>
        </w:rPr>
      </w:pPr>
    </w:p>
    <w:p>
      <w:pPr>
        <w:jc w:val="both"/>
        <w:ind w:firstLine="1513"/>
        <w:spacing w:after="0" w:line="329" w:lineRule="auto"/>
        <w:rPr>
          <w:sz w:val="20"/>
          <w:szCs w:val="20"/>
          <w:color w:val="auto"/>
        </w:rPr>
      </w:pPr>
      <w:r>
        <w:rPr>
          <w:rFonts w:ascii="Arial" w:cs="Arial" w:eastAsia="Arial" w:hAnsi="Arial"/>
          <w:sz w:val="19"/>
          <w:szCs w:val="19"/>
          <w:b w:val="1"/>
          <w:bCs w:val="1"/>
          <w:color w:val="auto"/>
        </w:rPr>
        <w:t>Section 8.5. Purchase of Notes</w:t>
      </w:r>
      <w:r>
        <w:rPr>
          <w:rFonts w:ascii="Arial" w:cs="Arial" w:eastAsia="Arial" w:hAnsi="Arial"/>
          <w:sz w:val="19"/>
          <w:szCs w:val="19"/>
          <w:color w:val="auto"/>
        </w:rPr>
        <w:t>. The Company will not and will not permit any other Note Party or any</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to purchase, redeem, prepay or otherwise acquire, directly or indirectly, any of the outstanding Notes of any series except</w:t>
      </w:r>
    </w:p>
    <w:p>
      <w:pPr>
        <w:spacing w:after="0" w:line="1" w:lineRule="exact"/>
        <w:rPr>
          <w:sz w:val="20"/>
          <w:szCs w:val="20"/>
          <w:color w:val="auto"/>
        </w:rPr>
      </w:pPr>
    </w:p>
    <w:p>
      <w:pPr>
        <w:jc w:val="both"/>
        <w:ind w:firstLine="8"/>
        <w:spacing w:after="0" w:line="333" w:lineRule="auto"/>
        <w:tabs>
          <w:tab w:leader="none" w:pos="3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upon the payment or prepayment of the Notes of any series in accordance with this Agreement and the Notes or (b) pursuant to an offer to purchase made by the Company, any other Note Party or an Affiliate pro rata to the holders of all Notes of any series at the time outstanding upon the same terms and conditions. Any such offer shall provide each holder with sufficient information to enable it to make an informed decision with respect to such offer, and shall remain open for at least 10 Business Days. If the holders of more than 50% of the principal amounts of the Notes of the applicable series then outstanding accept such offer, the Company shall promptly notify the remaining holders of such series of Notes of such fact and the expiration date for the acceptance by holders of such series of Notes shall be extended by the number of days necessary to give each such remaining holder at least 10 Business Days from its receipt of notice to accept such offer. The Company will promptly cancel all Notes acquired by it, any other Note Party or any Affiliate pursuant to any payment, prepayment or purchase of Notes pursuant to this Agreement and no Notes may be issued in substitution or exchange for any such Notes.</w:t>
      </w:r>
    </w:p>
    <w:p>
      <w:pPr>
        <w:spacing w:after="0" w:line="183"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25</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38" w:name="page39"/>
    <w:bookmarkEnd w:id="38"/>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20"/>
        <w:spacing w:after="0"/>
        <w:tabs>
          <w:tab w:leader="none" w:pos="2760" w:val="left"/>
        </w:tabs>
        <w:rPr>
          <w:sz w:val="20"/>
          <w:szCs w:val="20"/>
          <w:color w:val="auto"/>
        </w:rPr>
      </w:pPr>
      <w:r>
        <w:rPr>
          <w:rFonts w:ascii="Arial" w:cs="Arial" w:eastAsia="Arial" w:hAnsi="Arial"/>
          <w:sz w:val="22"/>
          <w:szCs w:val="22"/>
          <w:b w:val="1"/>
          <w:bCs w:val="1"/>
          <w:color w:val="auto"/>
        </w:rPr>
        <w:t>Section 8.6.</w:t>
      </w:r>
      <w:r>
        <w:rPr>
          <w:sz w:val="20"/>
          <w:szCs w:val="20"/>
          <w:color w:val="auto"/>
        </w:rPr>
        <w:tab/>
      </w:r>
      <w:r>
        <w:rPr>
          <w:rFonts w:ascii="Arial" w:cs="Arial" w:eastAsia="Arial" w:hAnsi="Arial"/>
          <w:sz w:val="19"/>
          <w:szCs w:val="19"/>
          <w:b w:val="1"/>
          <w:bCs w:val="1"/>
          <w:color w:val="auto"/>
        </w:rPr>
        <w:t>Make-Whole Amount</w:t>
      </w:r>
      <w:r>
        <w:rPr>
          <w:rFonts w:ascii="Arial" w:cs="Arial" w:eastAsia="Arial" w:hAnsi="Arial"/>
          <w:sz w:val="19"/>
          <w:szCs w:val="19"/>
          <w:color w:val="auto"/>
        </w:rPr>
        <w:t>.</w:t>
      </w:r>
    </w:p>
    <w:p>
      <w:pPr>
        <w:spacing w:after="0" w:line="2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“Make-Whole Amount” </w:t>
      </w:r>
      <w:r>
        <w:rPr>
          <w:rFonts w:ascii="Arial" w:cs="Arial" w:eastAsia="Arial" w:hAnsi="Arial"/>
          <w:sz w:val="22"/>
          <w:szCs w:val="22"/>
          <w:color w:val="auto"/>
        </w:rPr>
        <w:t>means, with respect to any Note of any series, an amount equal to the excess, if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Discounted Value of the Remaining Scheduled Payments with respect to the Called Principal of such Note over the amount of such Called Principal,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Make-Whole Amount may in no event be less than zero. For the purposes of determining the Make-Whole Amount, the following terms have the following meanings:</w:t>
      </w:r>
    </w:p>
    <w:p>
      <w:pPr>
        <w:spacing w:after="0" w:line="209" w:lineRule="exact"/>
        <w:rPr>
          <w:sz w:val="20"/>
          <w:szCs w:val="20"/>
          <w:color w:val="auto"/>
        </w:rPr>
      </w:pPr>
    </w:p>
    <w:p>
      <w:pPr>
        <w:jc w:val="both"/>
        <w:ind w:right="20" w:firstLine="648"/>
        <w:spacing w:after="0" w:line="394" w:lineRule="auto"/>
        <w:rPr>
          <w:sz w:val="20"/>
          <w:szCs w:val="20"/>
          <w:color w:val="auto"/>
        </w:rPr>
      </w:pPr>
      <w:r>
        <w:rPr>
          <w:rFonts w:ascii="Arial" w:cs="Arial" w:eastAsia="Arial" w:hAnsi="Arial"/>
          <w:sz w:val="19"/>
          <w:szCs w:val="19"/>
          <w:b w:val="1"/>
          <w:bCs w:val="1"/>
          <w:color w:val="auto"/>
        </w:rPr>
        <w:t xml:space="preserve">“Called Principal” </w:t>
      </w:r>
      <w:r>
        <w:rPr>
          <w:rFonts w:ascii="Arial" w:cs="Arial" w:eastAsia="Arial" w:hAnsi="Arial"/>
          <w:sz w:val="19"/>
          <w:szCs w:val="19"/>
          <w:color w:val="auto"/>
        </w:rPr>
        <w:t>means, with respect to any Note of any series, the principal of such Note that is to be prepaid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Section 8.2 or has become or is declared to be immediately due and payable pursuant to Section 12.1, as the context requires.</w:t>
      </w:r>
    </w:p>
    <w:p>
      <w:pPr>
        <w:spacing w:after="0" w:line="1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“Discounted Value” </w:t>
      </w:r>
      <w:r>
        <w:rPr>
          <w:rFonts w:ascii="Arial" w:cs="Arial" w:eastAsia="Arial" w:hAnsi="Arial"/>
          <w:sz w:val="22"/>
          <w:szCs w:val="22"/>
          <w:color w:val="auto"/>
        </w:rPr>
        <w:t>means, with respect to the Called Principal of any Note of any series, the amount obtained by</w:t>
      </w:r>
      <w:r>
        <w:rPr>
          <w:rFonts w:ascii="Arial" w:cs="Arial" w:eastAsia="Arial" w:hAnsi="Arial"/>
          <w:sz w:val="22"/>
          <w:szCs w:val="22"/>
          <w:b w:val="1"/>
          <w:bCs w:val="1"/>
          <w:color w:val="auto"/>
        </w:rPr>
        <w:t xml:space="preserve"> </w:t>
      </w:r>
      <w:r>
        <w:rPr>
          <w:rFonts w:ascii="Arial" w:cs="Arial" w:eastAsia="Arial" w:hAnsi="Arial"/>
          <w:sz w:val="22"/>
          <w:szCs w:val="22"/>
          <w:color w:val="auto"/>
        </w:rPr>
        <w:t>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spacing w:after="0" w:line="211"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“Reinvestment Yield” </w:t>
      </w:r>
      <w:r>
        <w:rPr>
          <w:rFonts w:ascii="Arial" w:cs="Arial" w:eastAsia="Arial" w:hAnsi="Arial"/>
          <w:sz w:val="19"/>
          <w:szCs w:val="19"/>
          <w:color w:val="auto"/>
        </w:rPr>
        <w:t>means, with respect to the Called Principal of any Note of any series, .50% over the yield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maturity implied by the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w:t>
      </w:r>
      <w:r>
        <w:rPr>
          <w:rFonts w:ascii="Arial" w:cs="Arial" w:eastAsia="Arial" w:hAnsi="Arial"/>
          <w:sz w:val="19"/>
          <w:szCs w:val="19"/>
          <w:b w:val="1"/>
          <w:bCs w:val="1"/>
          <w:color w:val="auto"/>
        </w:rPr>
        <w:t xml:space="preserve">(“Reported”) </w:t>
      </w:r>
      <w:r>
        <w:rPr>
          <w:rFonts w:ascii="Arial" w:cs="Arial" w:eastAsia="Arial" w:hAnsi="Arial"/>
          <w:sz w:val="19"/>
          <w:szCs w:val="19"/>
          <w:color w:val="auto"/>
        </w:rPr>
        <w:t>having a maturity equal to the Remaining Average Life of such Called Principal as of such Settlement Date. If there</w:t>
      </w:r>
      <w:r>
        <w:rPr>
          <w:rFonts w:ascii="Arial" w:cs="Arial" w:eastAsia="Arial" w:hAnsi="Arial"/>
          <w:sz w:val="19"/>
          <w:szCs w:val="19"/>
          <w:b w:val="1"/>
          <w:bCs w:val="1"/>
          <w:color w:val="auto"/>
        </w:rPr>
        <w:t xml:space="preserve"> </w:t>
      </w:r>
      <w:r>
        <w:rPr>
          <w:rFonts w:ascii="Arial" w:cs="Arial" w:eastAsia="Arial" w:hAnsi="Arial"/>
          <w:sz w:val="19"/>
          <w:szCs w:val="19"/>
          <w:color w:val="auto"/>
        </w:rPr>
        <w:t>are no such U.S. Treasury securities Reported having a maturity equal to such Remaining Average Life, then such implied yield to maturity will be determined by (a) converting U.S. Treasury bill quotations to bond equivalent yields in accordance with accepted financial practice and (b) interpolating linearly between the yields Reported for the applicable most recently issued actively traded on-the-run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w:t>
      </w: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 xml:space="preserve">If such yields are not Reported or the yields Reported as of such time are not ascertainable (including by way of interpolation), then </w:t>
      </w:r>
      <w:r>
        <w:rPr>
          <w:rFonts w:ascii="Arial" w:cs="Arial" w:eastAsia="Arial" w:hAnsi="Arial"/>
          <w:sz w:val="19"/>
          <w:szCs w:val="19"/>
          <w:b w:val="1"/>
          <w:bCs w:val="1"/>
          <w:color w:val="auto"/>
        </w:rPr>
        <w:t>“Reinvestment Yield”</w:t>
      </w:r>
      <w:r>
        <w:rPr>
          <w:rFonts w:ascii="Arial" w:cs="Arial" w:eastAsia="Arial" w:hAnsi="Arial"/>
          <w:sz w:val="19"/>
          <w:szCs w:val="19"/>
          <w:color w:val="auto"/>
        </w:rPr>
        <w:t xml:space="preserve"> means, with respect to the Called Principal of any Note, .50% over the yield to maturity implied by the U.S. Treasury constant maturity yields reported, for the latest day for which such yields have been so reported as of the second Business Day preceding the Settlement Date with respect to such Called Principal, in Federal Reserve</w:t>
      </w:r>
    </w:p>
    <w:p>
      <w:pPr>
        <w:spacing w:after="0" w:line="172"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26</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39" w:name="page40"/>
    <w:bookmarkEnd w:id="39"/>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w:t>
      </w:r>
    </w:p>
    <w:p>
      <w:pPr>
        <w:spacing w:after="0" w:line="21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b w:val="1"/>
          <w:bCs w:val="1"/>
          <w:color w:val="auto"/>
        </w:rPr>
        <w:t xml:space="preserve">“Remaining Average Life” </w:t>
      </w:r>
      <w:r>
        <w:rPr>
          <w:rFonts w:ascii="Arial" w:cs="Arial" w:eastAsia="Arial" w:hAnsi="Arial"/>
          <w:sz w:val="21"/>
          <w:szCs w:val="21"/>
          <w:color w:val="auto"/>
        </w:rPr>
        <w:t>means, with respect to any Called Principal, the number of years obtained by dividing (i) such</w:t>
      </w:r>
      <w:r>
        <w:rPr>
          <w:rFonts w:ascii="Arial" w:cs="Arial" w:eastAsia="Arial" w:hAnsi="Arial"/>
          <w:sz w:val="21"/>
          <w:szCs w:val="21"/>
          <w:b w:val="1"/>
          <w:bCs w:val="1"/>
          <w:color w:val="auto"/>
        </w:rPr>
        <w:t xml:space="preserve"> </w:t>
      </w:r>
      <w:r>
        <w:rPr>
          <w:rFonts w:ascii="Arial" w:cs="Arial" w:eastAsia="Arial" w:hAnsi="Arial"/>
          <w:sz w:val="21"/>
          <w:szCs w:val="21"/>
          <w:color w:val="auto"/>
        </w:rPr>
        <w:t>Called Principal into (ii) the sum of the products obtained by multiplying (a) the principal component of each Remaining Scheduled Payment with respect to such Called Principal by (b) the number of years, computed on the basis of a 360-day year composed of twelve 30-day months and calculated to two decimal places, that will elapse between the Settlement Date with respect to such Called Principal and the scheduled due date of such Remaining Scheduled Payment.</w:t>
      </w:r>
    </w:p>
    <w:p>
      <w:pPr>
        <w:spacing w:after="0" w:line="19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b w:val="1"/>
          <w:bCs w:val="1"/>
          <w:color w:val="auto"/>
        </w:rPr>
        <w:t xml:space="preserve">“Remaining Scheduled Payments” </w:t>
      </w:r>
      <w:r>
        <w:rPr>
          <w:rFonts w:ascii="Arial" w:cs="Arial" w:eastAsia="Arial" w:hAnsi="Arial"/>
          <w:sz w:val="22"/>
          <w:szCs w:val="22"/>
          <w:color w:val="auto"/>
        </w:rPr>
        <w:t>means, with respect to the Called Principal of any Note of any series, all payments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such Called Principal and interest thereon that would be due after the Settlement Date with respect to such Called Principal if no payment of such Called Principal were made prior to its scheduled due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pursuant to Section 8.4 or Section 12.1.</w:t>
      </w:r>
    </w:p>
    <w:p>
      <w:pPr>
        <w:spacing w:after="0" w:line="21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“Settlement Date” </w:t>
      </w:r>
      <w:r>
        <w:rPr>
          <w:rFonts w:ascii="Arial" w:cs="Arial" w:eastAsia="Arial" w:hAnsi="Arial"/>
          <w:sz w:val="22"/>
          <w:szCs w:val="22"/>
          <w:color w:val="auto"/>
        </w:rPr>
        <w:t>means, with respect to the Called Principal of any Note, the date on which such Called Principal is to be</w:t>
      </w:r>
      <w:r>
        <w:rPr>
          <w:rFonts w:ascii="Arial" w:cs="Arial" w:eastAsia="Arial" w:hAnsi="Arial"/>
          <w:sz w:val="22"/>
          <w:szCs w:val="22"/>
          <w:b w:val="1"/>
          <w:bCs w:val="1"/>
          <w:color w:val="auto"/>
        </w:rPr>
        <w:t xml:space="preserve"> </w:t>
      </w:r>
      <w:r>
        <w:rPr>
          <w:rFonts w:ascii="Arial" w:cs="Arial" w:eastAsia="Arial" w:hAnsi="Arial"/>
          <w:sz w:val="22"/>
          <w:szCs w:val="22"/>
          <w:color w:val="auto"/>
        </w:rPr>
        <w:t>prepaid pursuant to Section 8.2 or has become or is declared to be immediately due and payable pursuant to Section 12.1, as the context requires.</w:t>
      </w:r>
    </w:p>
    <w:p>
      <w:pPr>
        <w:spacing w:after="0" w:line="205" w:lineRule="exact"/>
        <w:rPr>
          <w:sz w:val="20"/>
          <w:szCs w:val="20"/>
          <w:color w:val="auto"/>
        </w:rPr>
      </w:pPr>
    </w:p>
    <w:p>
      <w:pPr>
        <w:ind w:left="1520"/>
        <w:spacing w:after="0"/>
        <w:tabs>
          <w:tab w:leader="none" w:pos="2760" w:val="left"/>
        </w:tabs>
        <w:rPr>
          <w:sz w:val="20"/>
          <w:szCs w:val="20"/>
          <w:color w:val="auto"/>
        </w:rPr>
      </w:pPr>
      <w:r>
        <w:rPr>
          <w:rFonts w:ascii="Arial" w:cs="Arial" w:eastAsia="Arial" w:hAnsi="Arial"/>
          <w:sz w:val="22"/>
          <w:szCs w:val="22"/>
          <w:b w:val="1"/>
          <w:bCs w:val="1"/>
          <w:color w:val="auto"/>
        </w:rPr>
        <w:t>Section 8.7.</w:t>
      </w:r>
      <w:r>
        <w:rPr>
          <w:sz w:val="20"/>
          <w:szCs w:val="20"/>
          <w:color w:val="auto"/>
        </w:rPr>
        <w:tab/>
      </w:r>
      <w:r>
        <w:rPr>
          <w:rFonts w:ascii="Arial" w:cs="Arial" w:eastAsia="Arial" w:hAnsi="Arial"/>
          <w:sz w:val="19"/>
          <w:szCs w:val="19"/>
          <w:b w:val="1"/>
          <w:bCs w:val="1"/>
          <w:color w:val="auto"/>
        </w:rPr>
        <w:t>Change in Control</w:t>
      </w:r>
      <w:r>
        <w:rPr>
          <w:rFonts w:ascii="Arial" w:cs="Arial" w:eastAsia="Arial" w:hAnsi="Arial"/>
          <w:sz w:val="19"/>
          <w:szCs w:val="19"/>
          <w:color w:val="auto"/>
        </w:rPr>
        <w:t>.</w:t>
      </w:r>
    </w:p>
    <w:p>
      <w:pPr>
        <w:spacing w:after="0" w:line="293" w:lineRule="exact"/>
        <w:rPr>
          <w:sz w:val="20"/>
          <w:szCs w:val="20"/>
          <w:color w:val="auto"/>
        </w:rPr>
      </w:pPr>
    </w:p>
    <w:p>
      <w:pPr>
        <w:jc w:val="both"/>
        <w:ind w:firstLine="832"/>
        <w:spacing w:after="0" w:line="288" w:lineRule="auto"/>
        <w:tabs>
          <w:tab w:leader="none" w:pos="1307"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Notice of Change in Control</w:t>
      </w:r>
      <w:r>
        <w:rPr>
          <w:rFonts w:ascii="Arial" w:cs="Arial" w:eastAsia="Arial" w:hAnsi="Arial"/>
          <w:sz w:val="22"/>
          <w:szCs w:val="22"/>
          <w:color w:val="auto"/>
        </w:rPr>
        <w:t>. The Company will, within ten (10) Business Days after the occurrence of any Change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 Control, give written notice (the </w:t>
      </w:r>
      <w:r>
        <w:rPr>
          <w:rFonts w:ascii="Arial" w:cs="Arial" w:eastAsia="Arial" w:hAnsi="Arial"/>
          <w:sz w:val="22"/>
          <w:szCs w:val="22"/>
          <w:b w:val="1"/>
          <w:bCs w:val="1"/>
          <w:color w:val="auto"/>
        </w:rPr>
        <w:t>“Change in Control Notice”</w:t>
      </w:r>
      <w:r>
        <w:rPr>
          <w:rFonts w:ascii="Arial" w:cs="Arial" w:eastAsia="Arial" w:hAnsi="Arial"/>
          <w:sz w:val="22"/>
          <w:szCs w:val="22"/>
          <w:color w:val="auto"/>
        </w:rPr>
        <w:t>) of such Change in Control to each holder of Notes. Such Change in Control Notice shall contain and constitute an offer to prepay the Notes as described in Section 8.7(b) hereof and shall be accompanied by the certificate described in Section 8.7(e).</w:t>
      </w:r>
    </w:p>
    <w:p>
      <w:pPr>
        <w:spacing w:after="0" w:line="217" w:lineRule="exact"/>
        <w:rPr>
          <w:rFonts w:ascii="Arial" w:cs="Arial" w:eastAsia="Arial" w:hAnsi="Arial"/>
          <w:sz w:val="22"/>
          <w:szCs w:val="22"/>
          <w:color w:val="auto"/>
        </w:rPr>
      </w:pPr>
    </w:p>
    <w:p>
      <w:pPr>
        <w:ind w:firstLine="832"/>
        <w:spacing w:after="0" w:line="302" w:lineRule="auto"/>
        <w:tabs>
          <w:tab w:leader="none" w:pos="1386"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Offer to Prepay Notes</w:t>
      </w:r>
      <w:r>
        <w:rPr>
          <w:rFonts w:ascii="Arial" w:cs="Arial" w:eastAsia="Arial" w:hAnsi="Arial"/>
          <w:sz w:val="22"/>
          <w:szCs w:val="22"/>
          <w:color w:val="auto"/>
        </w:rPr>
        <w:t>. The offer to prepay Notes contemplated by Section 8.7(a) shall be an offer to prepay,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and subject to this Section 8.7, all, but not less than all,</w:t>
      </w:r>
    </w:p>
    <w:p>
      <w:pPr>
        <w:spacing w:after="0" w:line="20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27</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40" w:name="page41"/>
    <w:bookmarkEnd w:id="40"/>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 xml:space="preserve">the Notes held by each holder (in this case only, “holder” in respect of any Note registered in the name of a nominee for a disclosed beneficial owner shall mean such beneficial owner) on a date specified in such Change in Control Notice (the </w:t>
      </w:r>
      <w:r>
        <w:rPr>
          <w:rFonts w:ascii="Arial" w:cs="Arial" w:eastAsia="Arial" w:hAnsi="Arial"/>
          <w:sz w:val="22"/>
          <w:szCs w:val="22"/>
          <w:b w:val="1"/>
          <w:bCs w:val="1"/>
          <w:color w:val="auto"/>
        </w:rPr>
        <w:t>“Proposed</w:t>
      </w:r>
      <w:r>
        <w:rPr>
          <w:rFonts w:ascii="Arial" w:cs="Arial" w:eastAsia="Arial" w:hAnsi="Arial"/>
          <w:sz w:val="22"/>
          <w:szCs w:val="22"/>
          <w:color w:val="auto"/>
        </w:rPr>
        <w:t xml:space="preserve"> </w:t>
      </w:r>
      <w:r>
        <w:rPr>
          <w:rFonts w:ascii="Arial" w:cs="Arial" w:eastAsia="Arial" w:hAnsi="Arial"/>
          <w:sz w:val="22"/>
          <w:szCs w:val="22"/>
          <w:b w:val="1"/>
          <w:bCs w:val="1"/>
          <w:color w:val="auto"/>
        </w:rPr>
        <w:t>Prepayment Date”</w:t>
      </w:r>
      <w:r>
        <w:rPr>
          <w:rFonts w:ascii="Arial" w:cs="Arial" w:eastAsia="Arial" w:hAnsi="Arial"/>
          <w:sz w:val="22"/>
          <w:szCs w:val="22"/>
          <w:color w:val="auto"/>
        </w:rPr>
        <w:t>). Such date shall be not fewer than 30 days and not more than 60 days after the date of delivery of the Change</w:t>
      </w:r>
      <w:r>
        <w:rPr>
          <w:rFonts w:ascii="Arial" w:cs="Arial" w:eastAsia="Arial" w:hAnsi="Arial"/>
          <w:sz w:val="22"/>
          <w:szCs w:val="22"/>
          <w:b w:val="1"/>
          <w:bCs w:val="1"/>
          <w:color w:val="auto"/>
        </w:rPr>
        <w:t xml:space="preserve"> </w:t>
      </w:r>
      <w:r>
        <w:rPr>
          <w:rFonts w:ascii="Arial" w:cs="Arial" w:eastAsia="Arial" w:hAnsi="Arial"/>
          <w:sz w:val="22"/>
          <w:szCs w:val="22"/>
          <w:color w:val="auto"/>
        </w:rPr>
        <w:t>in Control Notice.</w:t>
      </w:r>
    </w:p>
    <w:p>
      <w:pPr>
        <w:spacing w:after="0" w:line="217" w:lineRule="exact"/>
        <w:rPr>
          <w:sz w:val="20"/>
          <w:szCs w:val="20"/>
          <w:color w:val="auto"/>
        </w:rPr>
      </w:pPr>
    </w:p>
    <w:p>
      <w:pPr>
        <w:jc w:val="both"/>
        <w:ind w:firstLine="832"/>
        <w:spacing w:after="0" w:line="288" w:lineRule="auto"/>
        <w:tabs>
          <w:tab w:leader="none" w:pos="1361"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Acceptance</w:t>
      </w:r>
      <w:r>
        <w:rPr>
          <w:rFonts w:ascii="Arial" w:cs="Arial" w:eastAsia="Arial" w:hAnsi="Arial"/>
          <w:sz w:val="22"/>
          <w:szCs w:val="22"/>
          <w:color w:val="auto"/>
        </w:rPr>
        <w:t>. Any holder of Notes may accept the offer to prepay made pursuant to this Section 8.7 by causing a</w:t>
      </w:r>
      <w:r>
        <w:rPr>
          <w:rFonts w:ascii="Arial" w:cs="Arial" w:eastAsia="Arial" w:hAnsi="Arial"/>
          <w:sz w:val="22"/>
          <w:szCs w:val="22"/>
          <w:i w:val="1"/>
          <w:iCs w:val="1"/>
          <w:color w:val="auto"/>
        </w:rPr>
        <w:t xml:space="preserve"> </w:t>
      </w:r>
      <w:r>
        <w:rPr>
          <w:rFonts w:ascii="Arial" w:cs="Arial" w:eastAsia="Arial" w:hAnsi="Arial"/>
          <w:sz w:val="22"/>
          <w:szCs w:val="22"/>
          <w:color w:val="auto"/>
        </w:rPr>
        <w:t>notice of such acceptance to be delivered to the Company not fewer than 10 days prior to the Proposed Prepayment Date. A failure by a holder of Notes to respond to an offer to prepay made pursuant to this Section 8.7 shall be deemed to constitute a rejection of such offer by such holder.</w:t>
      </w:r>
    </w:p>
    <w:p>
      <w:pPr>
        <w:spacing w:after="0" w:line="217" w:lineRule="exact"/>
        <w:rPr>
          <w:rFonts w:ascii="Arial" w:cs="Arial" w:eastAsia="Arial" w:hAnsi="Arial"/>
          <w:sz w:val="22"/>
          <w:szCs w:val="22"/>
          <w:color w:val="auto"/>
        </w:rPr>
      </w:pPr>
    </w:p>
    <w:p>
      <w:pPr>
        <w:jc w:val="both"/>
        <w:ind w:firstLine="832"/>
        <w:spacing w:after="0" w:line="292" w:lineRule="auto"/>
        <w:tabs>
          <w:tab w:leader="none" w:pos="1346"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Prepayment</w:t>
      </w:r>
      <w:r>
        <w:rPr>
          <w:rFonts w:ascii="Arial" w:cs="Arial" w:eastAsia="Arial" w:hAnsi="Arial"/>
          <w:sz w:val="22"/>
          <w:szCs w:val="22"/>
          <w:color w:val="auto"/>
        </w:rPr>
        <w:t>. Prepayment of the Notes to be prepaid pursuant to this Section 8.7 shall be at 100% of the principal</w:t>
      </w:r>
      <w:r>
        <w:rPr>
          <w:rFonts w:ascii="Arial" w:cs="Arial" w:eastAsia="Arial" w:hAnsi="Arial"/>
          <w:sz w:val="22"/>
          <w:szCs w:val="22"/>
          <w:i w:val="1"/>
          <w:iCs w:val="1"/>
          <w:color w:val="auto"/>
        </w:rPr>
        <w:t xml:space="preserve"> </w:t>
      </w:r>
      <w:r>
        <w:rPr>
          <w:rFonts w:ascii="Arial" w:cs="Arial" w:eastAsia="Arial" w:hAnsi="Arial"/>
          <w:sz w:val="22"/>
          <w:szCs w:val="22"/>
          <w:color w:val="auto"/>
        </w:rPr>
        <w:t>amount of such Notes together with accrued and unpaid interest thereon but without any Make-Whole Amount or other premium. The prepayment shall be made on the Proposed Prepayment Date.</w:t>
      </w:r>
    </w:p>
    <w:p>
      <w:pPr>
        <w:spacing w:after="0" w:line="211" w:lineRule="exact"/>
        <w:rPr>
          <w:rFonts w:ascii="Arial" w:cs="Arial" w:eastAsia="Arial" w:hAnsi="Arial"/>
          <w:sz w:val="22"/>
          <w:szCs w:val="22"/>
          <w:color w:val="auto"/>
        </w:rPr>
      </w:pPr>
    </w:p>
    <w:p>
      <w:pPr>
        <w:jc w:val="both"/>
        <w:ind w:firstLine="832"/>
        <w:spacing w:after="0" w:line="285" w:lineRule="auto"/>
        <w:tabs>
          <w:tab w:leader="none" w:pos="1442"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Officer’s Certificate</w:t>
      </w:r>
      <w:r>
        <w:rPr>
          <w:rFonts w:ascii="Arial" w:cs="Arial" w:eastAsia="Arial" w:hAnsi="Arial"/>
          <w:sz w:val="22"/>
          <w:szCs w:val="22"/>
          <w:color w:val="auto"/>
        </w:rPr>
        <w:t>. Each offer to prepay the Notes pursuant to this Section 8.7 shall be accompanied by a</w:t>
      </w:r>
      <w:r>
        <w:rPr>
          <w:rFonts w:ascii="Arial" w:cs="Arial" w:eastAsia="Arial" w:hAnsi="Arial"/>
          <w:sz w:val="22"/>
          <w:szCs w:val="22"/>
          <w:i w:val="1"/>
          <w:iCs w:val="1"/>
          <w:color w:val="auto"/>
        </w:rPr>
        <w:t xml:space="preserve"> </w:t>
      </w:r>
      <w:r>
        <w:rPr>
          <w:rFonts w:ascii="Arial" w:cs="Arial" w:eastAsia="Arial" w:hAnsi="Arial"/>
          <w:sz w:val="22"/>
          <w:szCs w:val="22"/>
          <w:color w:val="auto"/>
        </w:rPr>
        <w:t>certificate, executed by a Senior Financial Officer and dated the date of delivery of the Change in Control Notice, specifying: (i) the Proposed Prepayment Date; (ii) that such offer is made pursuant to this Section 8.7; (iii) the principal amount of each Note offered to be prepaid (which shall be 100% of the outstanding principal balance of each such Note); (iv) the interest that would be due on each Note offered to be prepaid, accrued to the Proposed Prepayment Date; (v) that the conditions of this Section 8.7 required to be fulfilled prior to the giving of notice have been fulfilled; and (vi) in reasonable detail, the general nature and date of the Change in Control.</w:t>
      </w:r>
    </w:p>
    <w:p>
      <w:pPr>
        <w:spacing w:after="0" w:line="214" w:lineRule="exact"/>
        <w:rPr>
          <w:sz w:val="20"/>
          <w:szCs w:val="20"/>
          <w:color w:val="auto"/>
        </w:rPr>
      </w:pPr>
    </w:p>
    <w:p>
      <w:pPr>
        <w:jc w:val="both"/>
        <w:ind w:firstLine="1513"/>
        <w:spacing w:after="0" w:line="286" w:lineRule="auto"/>
        <w:rPr>
          <w:sz w:val="20"/>
          <w:szCs w:val="20"/>
          <w:color w:val="auto"/>
        </w:rPr>
      </w:pPr>
      <w:r>
        <w:rPr>
          <w:rFonts w:ascii="Arial" w:cs="Arial" w:eastAsia="Arial" w:hAnsi="Arial"/>
          <w:sz w:val="22"/>
          <w:szCs w:val="22"/>
          <w:b w:val="1"/>
          <w:bCs w:val="1"/>
          <w:color w:val="auto"/>
        </w:rPr>
        <w:t>Section 8.8. Payments Due on Non-Business Days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in this Agreement or the Notes to the contrary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(x) subject to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Make-Whole Amount on any Note (including principal due on the Maturity Date of such Note) that is due on a date that is not a Business Day shall be made on the next succeeding Business Day and shall include the additional days elapsed in the computation of interest payable on such next succeeding Business Day.</w:t>
      </w:r>
    </w:p>
    <w:p>
      <w:pPr>
        <w:spacing w:after="0" w:line="253"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9.</w:t>
        <w:tab/>
        <w:t>AFFIRMATIVE COVENANTS</w:t>
      </w:r>
      <w:r>
        <w:rPr>
          <w:rFonts w:ascii="Arial" w:cs="Arial" w:eastAsia="Arial" w:hAnsi="Arial"/>
          <w:sz w:val="22"/>
          <w:szCs w:val="22"/>
          <w:color w:val="auto"/>
        </w:rPr>
        <w:t>.</w:t>
      </w:r>
    </w:p>
    <w:p>
      <w:pPr>
        <w:spacing w:after="0" w:line="293"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28</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41" w:name="page42"/>
    <w:bookmarkEnd w:id="41"/>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From the date of this Agreement until the First Closing and thereafter, each of the REIT and the Company covenants that so long as any of the Notes are outstanding:</w:t>
      </w:r>
    </w:p>
    <w:p>
      <w:pPr>
        <w:spacing w:after="0" w:line="195" w:lineRule="exact"/>
        <w:rPr>
          <w:sz w:val="20"/>
          <w:szCs w:val="20"/>
          <w:color w:val="auto"/>
        </w:rPr>
      </w:pPr>
    </w:p>
    <w:p>
      <w:pPr>
        <w:jc w:val="both"/>
        <w:ind w:firstLine="1513"/>
        <w:spacing w:after="0" w:line="333" w:lineRule="auto"/>
        <w:rPr>
          <w:sz w:val="20"/>
          <w:szCs w:val="20"/>
          <w:color w:val="auto"/>
        </w:rPr>
      </w:pPr>
      <w:r>
        <w:rPr>
          <w:rFonts w:ascii="Arial" w:cs="Arial" w:eastAsia="Arial" w:hAnsi="Arial"/>
          <w:sz w:val="19"/>
          <w:szCs w:val="19"/>
          <w:b w:val="1"/>
          <w:bCs w:val="1"/>
          <w:color w:val="auto"/>
        </w:rPr>
        <w:t>Section 9.1. Compliance with Laws</w:t>
      </w:r>
      <w:r>
        <w:rPr>
          <w:rFonts w:ascii="Arial" w:cs="Arial" w:eastAsia="Arial" w:hAnsi="Arial"/>
          <w:sz w:val="19"/>
          <w:szCs w:val="19"/>
          <w:color w:val="auto"/>
        </w:rPr>
        <w:t>. Without limiting Section 10.3, each of the REIT and the Company will,</w:t>
      </w:r>
      <w:r>
        <w:rPr>
          <w:rFonts w:ascii="Arial" w:cs="Arial" w:eastAsia="Arial" w:hAnsi="Arial"/>
          <w:sz w:val="19"/>
          <w:szCs w:val="19"/>
          <w:b w:val="1"/>
          <w:bCs w:val="1"/>
          <w:color w:val="auto"/>
        </w:rPr>
        <w:t xml:space="preserve"> </w:t>
      </w:r>
      <w:r>
        <w:rPr>
          <w:rFonts w:ascii="Arial" w:cs="Arial" w:eastAsia="Arial" w:hAnsi="Arial"/>
          <w:sz w:val="19"/>
          <w:szCs w:val="19"/>
          <w:color w:val="auto"/>
        </w:rPr>
        <w:t>and will cause each other Note Party and each Subsidiary to, comply with all laws, ordinances or governmental rules or regulations to which each of them is subject, including, without limitation,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(a)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 or (b) except for instances in which such requirement of law, ordinance, governmental order or regulation is being contested in good faith by appropriate proceedings diligently conducted.</w:t>
      </w:r>
    </w:p>
    <w:p>
      <w:pPr>
        <w:spacing w:after="0" w:line="183" w:lineRule="exact"/>
        <w:rPr>
          <w:sz w:val="20"/>
          <w:szCs w:val="20"/>
          <w:color w:val="auto"/>
        </w:rPr>
      </w:pPr>
    </w:p>
    <w:p>
      <w:pPr>
        <w:jc w:val="both"/>
        <w:ind w:firstLine="1513"/>
        <w:spacing w:after="0" w:line="343" w:lineRule="auto"/>
        <w:rPr>
          <w:sz w:val="20"/>
          <w:szCs w:val="20"/>
          <w:color w:val="auto"/>
        </w:rPr>
      </w:pPr>
      <w:r>
        <w:rPr>
          <w:rFonts w:ascii="Arial" w:cs="Arial" w:eastAsia="Arial" w:hAnsi="Arial"/>
          <w:sz w:val="19"/>
          <w:szCs w:val="19"/>
          <w:b w:val="1"/>
          <w:bCs w:val="1"/>
          <w:color w:val="auto"/>
        </w:rPr>
        <w:t>Section 9.2. Insurance</w:t>
      </w:r>
      <w:r>
        <w:rPr>
          <w:rFonts w:ascii="Arial" w:cs="Arial" w:eastAsia="Arial" w:hAnsi="Arial"/>
          <w:sz w:val="19"/>
          <w:szCs w:val="19"/>
          <w:color w:val="auto"/>
        </w:rPr>
        <w:t>. Each of the REIT and the Company will, and will cause each other Note Party and each</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67" w:lineRule="exact"/>
        <w:rPr>
          <w:sz w:val="20"/>
          <w:szCs w:val="20"/>
          <w:color w:val="auto"/>
        </w:rPr>
      </w:pPr>
    </w:p>
    <w:p>
      <w:pPr>
        <w:jc w:val="both"/>
        <w:ind w:firstLine="1513"/>
        <w:spacing w:after="0" w:line="288" w:lineRule="auto"/>
        <w:rPr>
          <w:sz w:val="20"/>
          <w:szCs w:val="20"/>
          <w:color w:val="auto"/>
        </w:rPr>
      </w:pPr>
      <w:r>
        <w:rPr>
          <w:rFonts w:ascii="Arial" w:cs="Arial" w:eastAsia="Arial" w:hAnsi="Arial"/>
          <w:sz w:val="22"/>
          <w:szCs w:val="22"/>
          <w:b w:val="1"/>
          <w:bCs w:val="1"/>
          <w:color w:val="auto"/>
        </w:rPr>
        <w:t>Section 9.3. Maintenance of Properties</w:t>
      </w:r>
      <w:r>
        <w:rPr>
          <w:rFonts w:ascii="Arial" w:cs="Arial" w:eastAsia="Arial" w:hAnsi="Arial"/>
          <w:sz w:val="22"/>
          <w:szCs w:val="22"/>
          <w:color w:val="auto"/>
        </w:rPr>
        <w:t>. Each of the REIT and the Company will, and will cause each other</w:t>
      </w:r>
      <w:r>
        <w:rPr>
          <w:rFonts w:ascii="Arial" w:cs="Arial" w:eastAsia="Arial" w:hAnsi="Arial"/>
          <w:sz w:val="22"/>
          <w:szCs w:val="22"/>
          <w:b w:val="1"/>
          <w:bCs w:val="1"/>
          <w:color w:val="auto"/>
        </w:rPr>
        <w:t xml:space="preserve"> </w:t>
      </w:r>
      <w:r>
        <w:rPr>
          <w:rFonts w:ascii="Arial" w:cs="Arial" w:eastAsia="Arial" w:hAnsi="Arial"/>
          <w:sz w:val="22"/>
          <w:szCs w:val="22"/>
          <w:color w:val="auto"/>
        </w:rPr>
        <w:t>Note Party and each Subsidiary to, maintain and keep, or cause to be maintained and kept, their respective properties in good repair, working order and condition (other than ordinary wear and tear), so that the business carried on in connection therewith may be properly conducted at all times, except where the failure to do so could not, individually or in the aggregate, reasonably be expected to have a Material Adverse Effect.</w:t>
      </w:r>
    </w:p>
    <w:p>
      <w:pPr>
        <w:spacing w:after="0" w:line="211" w:lineRule="exact"/>
        <w:rPr>
          <w:sz w:val="20"/>
          <w:szCs w:val="20"/>
          <w:color w:val="auto"/>
        </w:rPr>
      </w:pPr>
    </w:p>
    <w:p>
      <w:pPr>
        <w:jc w:val="both"/>
        <w:ind w:firstLine="1513"/>
        <w:spacing w:after="0" w:line="301" w:lineRule="auto"/>
        <w:rPr>
          <w:sz w:val="20"/>
          <w:szCs w:val="20"/>
          <w:color w:val="auto"/>
        </w:rPr>
      </w:pPr>
      <w:r>
        <w:rPr>
          <w:rFonts w:ascii="Arial" w:cs="Arial" w:eastAsia="Arial" w:hAnsi="Arial"/>
          <w:sz w:val="21"/>
          <w:szCs w:val="21"/>
          <w:b w:val="1"/>
          <w:bCs w:val="1"/>
          <w:color w:val="auto"/>
        </w:rPr>
        <w:t xml:space="preserve">Section 9.4. Payment of Taxes and Claims </w:t>
      </w:r>
      <w:r>
        <w:rPr>
          <w:rFonts w:ascii="Arial" w:cs="Arial" w:eastAsia="Arial" w:hAnsi="Arial"/>
          <w:sz w:val="21"/>
          <w:szCs w:val="21"/>
          <w:color w:val="auto"/>
        </w:rPr>
        <w:t>. Each of the REIT and the Company will, and will cause each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other Note Party and each Subsidiary to, file all material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on properties or assets of a Note Party or any Subsidiary,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neither a Note Party nor any Subsidiary need pay any such tax, assessment, charge, levy or</w:t>
      </w:r>
    </w:p>
    <w:p>
      <w:pPr>
        <w:spacing w:after="0" w:line="209"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29</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42" w:name="page43"/>
    <w:bookmarkEnd w:id="42"/>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claim if (i) the amount, applicability or validity thereof is contested by such Note Party or such Subsidiary on a timely basis in good faith and in appropriate proceedings, and such Note Party or a Subsidiary has established adequate reserves therefor in accordance with GAAP on the books of such Note Party or such Subsidiary or (ii) the nonpayment of all such taxes, assessments, charges, levies and claims could not, individually or in the aggregate, reasonably be expected to have a Material Adverse Effect.</w:t>
      </w:r>
    </w:p>
    <w:p>
      <w:pPr>
        <w:spacing w:after="0" w:line="166" w:lineRule="exact"/>
        <w:rPr>
          <w:sz w:val="20"/>
          <w:szCs w:val="20"/>
          <w:color w:val="auto"/>
        </w:rPr>
      </w:pPr>
    </w:p>
    <w:p>
      <w:pPr>
        <w:jc w:val="both"/>
        <w:ind w:firstLine="1513"/>
        <w:spacing w:after="0" w:line="337" w:lineRule="auto"/>
        <w:rPr>
          <w:sz w:val="20"/>
          <w:szCs w:val="20"/>
          <w:color w:val="auto"/>
        </w:rPr>
      </w:pPr>
      <w:r>
        <w:rPr>
          <w:rFonts w:ascii="Arial" w:cs="Arial" w:eastAsia="Arial" w:hAnsi="Arial"/>
          <w:sz w:val="19"/>
          <w:szCs w:val="19"/>
          <w:b w:val="1"/>
          <w:bCs w:val="1"/>
          <w:color w:val="auto"/>
        </w:rPr>
        <w:t>Section 9.5. Corporate Existence, Etc</w:t>
      </w:r>
      <w:r>
        <w:rPr>
          <w:rFonts w:ascii="Arial" w:cs="Arial" w:eastAsia="Arial" w:hAnsi="Arial"/>
          <w:sz w:val="19"/>
          <w:szCs w:val="19"/>
          <w:color w:val="auto"/>
        </w:rPr>
        <w:t>. Subject to Section 10.7, each of the REIT and the Company will at all</w:t>
      </w:r>
      <w:r>
        <w:rPr>
          <w:rFonts w:ascii="Arial" w:cs="Arial" w:eastAsia="Arial" w:hAnsi="Arial"/>
          <w:sz w:val="19"/>
          <w:szCs w:val="19"/>
          <w:b w:val="1"/>
          <w:bCs w:val="1"/>
          <w:color w:val="auto"/>
        </w:rPr>
        <w:t xml:space="preserve"> </w:t>
      </w:r>
      <w:r>
        <w:rPr>
          <w:rFonts w:ascii="Arial" w:cs="Arial" w:eastAsia="Arial" w:hAnsi="Arial"/>
          <w:sz w:val="19"/>
          <w:szCs w:val="19"/>
          <w:color w:val="auto"/>
        </w:rPr>
        <w:t>times preserve and keep its corporate or limited partnership, as applicable, existence in full force and effect. Subject to Sections 10.7, each of the REIT and the Company will at all times preserve and keep in full force and effect the corporate, limited partnership or limited liability company existence of each other Note Party and each Subsidiary (unless merged into another Note Party or a Wholly-Owned Subsidiary) and all rights and franchises of each Note Party and its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175" w:lineRule="exact"/>
        <w:rPr>
          <w:sz w:val="20"/>
          <w:szCs w:val="20"/>
          <w:color w:val="auto"/>
        </w:rPr>
      </w:pPr>
    </w:p>
    <w:p>
      <w:pPr>
        <w:jc w:val="both"/>
        <w:ind w:firstLine="1513"/>
        <w:spacing w:after="0" w:line="300" w:lineRule="auto"/>
        <w:rPr>
          <w:sz w:val="20"/>
          <w:szCs w:val="20"/>
          <w:color w:val="auto"/>
        </w:rPr>
      </w:pPr>
      <w:r>
        <w:rPr>
          <w:rFonts w:ascii="Arial" w:cs="Arial" w:eastAsia="Arial" w:hAnsi="Arial"/>
          <w:sz w:val="21"/>
          <w:szCs w:val="21"/>
          <w:b w:val="1"/>
          <w:bCs w:val="1"/>
          <w:color w:val="auto"/>
        </w:rPr>
        <w:t>Section 9.6. Books and Records</w:t>
      </w:r>
      <w:r>
        <w:rPr>
          <w:rFonts w:ascii="Arial" w:cs="Arial" w:eastAsia="Arial" w:hAnsi="Arial"/>
          <w:sz w:val="21"/>
          <w:szCs w:val="21"/>
          <w:color w:val="auto"/>
        </w:rPr>
        <w:t>. Each of the REIT and the Company will, and will cause each other Note</w:t>
      </w:r>
      <w:r>
        <w:rPr>
          <w:rFonts w:ascii="Arial" w:cs="Arial" w:eastAsia="Arial" w:hAnsi="Arial"/>
          <w:sz w:val="21"/>
          <w:szCs w:val="21"/>
          <w:b w:val="1"/>
          <w:bCs w:val="1"/>
          <w:color w:val="auto"/>
        </w:rPr>
        <w:t xml:space="preserve"> </w:t>
      </w:r>
      <w:r>
        <w:rPr>
          <w:rFonts w:ascii="Arial" w:cs="Arial" w:eastAsia="Arial" w:hAnsi="Arial"/>
          <w:sz w:val="21"/>
          <w:szCs w:val="21"/>
          <w:color w:val="auto"/>
        </w:rPr>
        <w:t>Party and each Subsidiary to, maintain proper books of record and account in conformity with GAAP and in conformity in all material respects with all applicable requirements of any Governmental Authority having legal or regulatory jurisdiction over any such Note Party or such Subsidiary, as the case may be. Each of the REIT and the Company will, and will cause each other Note Party and each Subsidiary to, keep books, records and accounts which, in reasonable detail, accurately reflect in all material respects all transactions and dispositions of assets. Each Note Party and its Subsidiaries have devised a system of internal accounting controls sufficient to provide reasonable assurances that their respective books, records, and accounts accurately reflect all transactions and dispositions of assets and each of the REIT and the Company will, and will cause each other Note Party and each Subsidiary to, continue to maintain such system.</w:t>
      </w:r>
    </w:p>
    <w:p>
      <w:pPr>
        <w:spacing w:after="0" w:line="200" w:lineRule="exact"/>
        <w:rPr>
          <w:sz w:val="20"/>
          <w:szCs w:val="20"/>
          <w:color w:val="auto"/>
        </w:rPr>
      </w:pPr>
    </w:p>
    <w:p>
      <w:pPr>
        <w:jc w:val="both"/>
        <w:ind w:firstLine="1513"/>
        <w:spacing w:after="0" w:line="290" w:lineRule="auto"/>
        <w:rPr>
          <w:sz w:val="20"/>
          <w:szCs w:val="20"/>
          <w:color w:val="auto"/>
        </w:rPr>
      </w:pPr>
      <w:r>
        <w:rPr>
          <w:rFonts w:ascii="Arial" w:cs="Arial" w:eastAsia="Arial" w:hAnsi="Arial"/>
          <w:sz w:val="22"/>
          <w:szCs w:val="22"/>
          <w:b w:val="1"/>
          <w:bCs w:val="1"/>
          <w:color w:val="auto"/>
        </w:rPr>
        <w:t xml:space="preserve">Section 9.7. Subsidiary Guarantors. </w:t>
      </w:r>
      <w:r>
        <w:rPr>
          <w:rFonts w:ascii="Arial" w:cs="Arial" w:eastAsia="Arial" w:hAnsi="Arial"/>
          <w:sz w:val="22"/>
          <w:szCs w:val="22"/>
          <w:color w:val="auto"/>
        </w:rPr>
        <w:t>(a) Each of the REIT and the Company will cause each Subsidiary that</w:t>
      </w:r>
      <w:r>
        <w:rPr>
          <w:rFonts w:ascii="Arial" w:cs="Arial" w:eastAsia="Arial" w:hAnsi="Arial"/>
          <w:sz w:val="22"/>
          <w:szCs w:val="22"/>
          <w:b w:val="1"/>
          <w:bCs w:val="1"/>
          <w:color w:val="auto"/>
        </w:rPr>
        <w:t xml:space="preserve"> </w:t>
      </w:r>
      <w:r>
        <w:rPr>
          <w:rFonts w:ascii="Arial" w:cs="Arial" w:eastAsia="Arial" w:hAnsi="Arial"/>
          <w:sz w:val="22"/>
          <w:szCs w:val="22"/>
          <w:color w:val="auto"/>
        </w:rPr>
        <w:t>guarantees or otherwise becomes liable at any time, whether as a borrower or an additional or co-borrower or otherwise, for or in respect of any Indebtedness under the Primary Credit Facility to concurrently therewith deliver the following to each of holder of a Note:</w:t>
      </w:r>
    </w:p>
    <w:p>
      <w:pPr>
        <w:spacing w:after="0" w:line="215" w:lineRule="exact"/>
        <w:rPr>
          <w:sz w:val="20"/>
          <w:szCs w:val="20"/>
          <w:color w:val="auto"/>
        </w:rPr>
      </w:pPr>
    </w:p>
    <w:p>
      <w:pPr>
        <w:ind w:left="4000" w:hanging="427"/>
        <w:spacing w:after="0"/>
        <w:tabs>
          <w:tab w:leader="none" w:pos="40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 executed joinder to the Affiliate Guaranty;</w:t>
      </w:r>
    </w:p>
    <w:p>
      <w:pPr>
        <w:spacing w:after="0" w:line="287" w:lineRule="exact"/>
        <w:rPr>
          <w:rFonts w:ascii="Arial" w:cs="Arial" w:eastAsia="Arial" w:hAnsi="Arial"/>
          <w:sz w:val="22"/>
          <w:szCs w:val="22"/>
          <w:color w:val="auto"/>
        </w:rPr>
      </w:pPr>
    </w:p>
    <w:p>
      <w:pPr>
        <w:jc w:val="both"/>
        <w:ind w:left="1300" w:firstLine="2273"/>
        <w:spacing w:after="0" w:line="292" w:lineRule="auto"/>
        <w:tabs>
          <w:tab w:leader="none" w:pos="412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the extent required under the Primary Credit Facility, a certificate signed by an authorized responsible officer of such Subsidiary containing representations and warranties on behalf of such Subsidiary to the same effect,</w:t>
      </w:r>
    </w:p>
    <w:p>
      <w:pPr>
        <w:spacing w:after="0" w:line="21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30</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43" w:name="page44"/>
    <w:bookmarkEnd w:id="43"/>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00" w:right="20"/>
        <w:spacing w:after="0" w:line="302" w:lineRule="auto"/>
        <w:rPr>
          <w:sz w:val="20"/>
          <w:szCs w:val="20"/>
          <w:color w:val="auto"/>
        </w:rPr>
      </w:pPr>
      <w:r>
        <w:rPr>
          <w:rFonts w:ascii="Arial" w:cs="Arial" w:eastAsia="Arial" w:hAnsi="Arial"/>
          <w:sz w:val="22"/>
          <w:szCs w:val="22"/>
          <w:i w:val="1"/>
          <w:iCs w:val="1"/>
          <w:color w:val="auto"/>
        </w:rPr>
        <w:t>mutatis mutandis</w:t>
      </w:r>
      <w:r>
        <w:rPr>
          <w:rFonts w:ascii="Arial" w:cs="Arial" w:eastAsia="Arial" w:hAnsi="Arial"/>
          <w:sz w:val="22"/>
          <w:szCs w:val="22"/>
          <w:color w:val="auto"/>
        </w:rPr>
        <w:t>, as those contained in Section 5 of this Agreement (but with respect to such Subsidiary and such</w:t>
      </w:r>
      <w:r>
        <w:rPr>
          <w:rFonts w:ascii="Arial" w:cs="Arial" w:eastAsia="Arial" w:hAnsi="Arial"/>
          <w:sz w:val="22"/>
          <w:szCs w:val="22"/>
          <w:i w:val="1"/>
          <w:iCs w:val="1"/>
          <w:color w:val="auto"/>
        </w:rPr>
        <w:t xml:space="preserve"> </w:t>
      </w:r>
      <w:r>
        <w:rPr>
          <w:rFonts w:ascii="Arial" w:cs="Arial" w:eastAsia="Arial" w:hAnsi="Arial"/>
          <w:sz w:val="22"/>
          <w:szCs w:val="22"/>
          <w:color w:val="auto"/>
        </w:rPr>
        <w:t>joinder rather than the Company);</w:t>
      </w:r>
    </w:p>
    <w:p>
      <w:pPr>
        <w:spacing w:after="0" w:line="201" w:lineRule="exact"/>
        <w:rPr>
          <w:sz w:val="20"/>
          <w:szCs w:val="20"/>
          <w:color w:val="auto"/>
        </w:rPr>
      </w:pPr>
    </w:p>
    <w:p>
      <w:pPr>
        <w:jc w:val="both"/>
        <w:ind w:left="1300" w:firstLine="2273"/>
        <w:spacing w:after="0" w:line="288" w:lineRule="auto"/>
        <w:tabs>
          <w:tab w:leader="none" w:pos="4146" w:val="left"/>
        </w:tabs>
        <w:numPr>
          <w:ilvl w:val="1"/>
          <w:numId w:val="43"/>
        </w:numPr>
        <w:rPr>
          <w:rFonts w:ascii="Arial" w:cs="Arial" w:eastAsia="Arial" w:hAnsi="Arial"/>
          <w:sz w:val="22"/>
          <w:szCs w:val="22"/>
          <w:color w:val="auto"/>
        </w:rPr>
      </w:pPr>
      <w:r>
        <w:rPr>
          <w:rFonts w:ascii="Arial" w:cs="Arial" w:eastAsia="Arial" w:hAnsi="Arial"/>
          <w:sz w:val="22"/>
          <w:szCs w:val="22"/>
          <w:color w:val="auto"/>
        </w:rPr>
        <w:t>to the extent required under the Primary Credit Facility, documents to evidence the due organization, continuing existence and good standing of such Subsidiary and the due authorization by all requisite action on the part of such Subsidiary of the execution and delivery of such joinder and the performance by such Subsidiary of its obligations under the Affiliate Guaranty; and</w:t>
      </w:r>
    </w:p>
    <w:p>
      <w:pPr>
        <w:spacing w:after="0" w:line="217" w:lineRule="exact"/>
        <w:rPr>
          <w:rFonts w:ascii="Arial" w:cs="Arial" w:eastAsia="Arial" w:hAnsi="Arial"/>
          <w:sz w:val="22"/>
          <w:szCs w:val="22"/>
          <w:color w:val="auto"/>
        </w:rPr>
      </w:pPr>
    </w:p>
    <w:p>
      <w:pPr>
        <w:jc w:val="both"/>
        <w:ind w:left="1300" w:firstLine="2273"/>
        <w:spacing w:after="0" w:line="292" w:lineRule="auto"/>
        <w:tabs>
          <w:tab w:leader="none" w:pos="4242" w:val="left"/>
        </w:tabs>
        <w:numPr>
          <w:ilvl w:val="1"/>
          <w:numId w:val="43"/>
        </w:numPr>
        <w:rPr>
          <w:rFonts w:ascii="Arial" w:cs="Arial" w:eastAsia="Arial" w:hAnsi="Arial"/>
          <w:sz w:val="22"/>
          <w:szCs w:val="22"/>
          <w:color w:val="auto"/>
        </w:rPr>
      </w:pPr>
      <w:r>
        <w:rPr>
          <w:rFonts w:ascii="Arial" w:cs="Arial" w:eastAsia="Arial" w:hAnsi="Arial"/>
          <w:sz w:val="22"/>
          <w:szCs w:val="22"/>
          <w:color w:val="auto"/>
        </w:rPr>
        <w:t>to the extent required under the Primary Credit Facility, an opinion of counsel reasonably satisfactory to the Required Holders covering such matters relating to such Subsidiary and such joinder as the Required Holders may reasonably request.</w:t>
      </w:r>
    </w:p>
    <w:p>
      <w:pPr>
        <w:spacing w:after="0" w:line="211" w:lineRule="exact"/>
        <w:rPr>
          <w:rFonts w:ascii="Arial" w:cs="Arial" w:eastAsia="Arial" w:hAnsi="Arial"/>
          <w:sz w:val="22"/>
          <w:szCs w:val="22"/>
          <w:color w:val="auto"/>
        </w:rPr>
      </w:pPr>
    </w:p>
    <w:p>
      <w:pPr>
        <w:jc w:val="both"/>
        <w:ind w:left="660" w:firstLine="1617"/>
        <w:spacing w:after="0" w:line="331" w:lineRule="auto"/>
        <w:tabs>
          <w:tab w:leader="none" w:pos="2762"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 xml:space="preserve">Release of Guarantors. </w:t>
      </w:r>
      <w:r>
        <w:rPr>
          <w:rFonts w:ascii="Arial" w:cs="Arial" w:eastAsia="Arial" w:hAnsi="Arial"/>
          <w:sz w:val="19"/>
          <w:szCs w:val="19"/>
          <w:color w:val="auto"/>
        </w:rPr>
        <w:t>Each of the REIT and the Company may request in writing that the holders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Notes release a Subsidiary Guarantor, if: (i) after giving effect to such release, such Subsidiary does not have any liability as a guarantor, borrower, co-borrower or otherwise with respect to any Indebtedness under the Primary Credit Facility or any Pari Passu Obligations, (ii) no Default or Event of Default shall then be in existence or would occur as a result of such release; and (iii) if any fee or other form of consideration is given to any holder of Indebtedness under the Primary Credit Facility directly related to releasing such Subsidiary Guarantor, the Purchasers and holders of the Notes shall receive equivalent consideration (or other form of consideration reasonably acceptable to the Required Holders). Together with any such request, each of the REIT and the Company shall deliver to the holders of the Notes an Officer’s Certificate certifying that the conditions set forth in immediately preceding clauses (i), (ii), and (iii) will be true and correct upon the release of such Subsidiary Guarantor. No later than 10 Business Days following the receipt by the Purchasers and holders of the Notes of such written request and the related Officer’s Certificate and so long as the conditions set forth in immediately preceding clauses (i), (ii) and (iii) will be true and correct, the release shall be effective automatically and each Purchaser and holder of Notes shall execute and deliver, at the sole cost and expense of the Company, such documents as the Company may reasonably request to evidence such release.</w:t>
      </w:r>
    </w:p>
    <w:p>
      <w:pPr>
        <w:spacing w:after="0" w:line="200" w:lineRule="exact"/>
        <w:rPr>
          <w:sz w:val="20"/>
          <w:szCs w:val="20"/>
          <w:color w:val="auto"/>
        </w:rPr>
      </w:pPr>
    </w:p>
    <w:p>
      <w:pPr>
        <w:spacing w:after="0" w:line="279" w:lineRule="exact"/>
        <w:rPr>
          <w:sz w:val="20"/>
          <w:szCs w:val="20"/>
          <w:color w:val="auto"/>
        </w:rPr>
      </w:pPr>
    </w:p>
    <w:p>
      <w:pPr>
        <w:jc w:val="both"/>
        <w:ind w:right="20" w:firstLine="1513"/>
        <w:spacing w:after="0" w:line="294" w:lineRule="auto"/>
        <w:rPr>
          <w:sz w:val="20"/>
          <w:szCs w:val="20"/>
          <w:color w:val="auto"/>
        </w:rPr>
      </w:pPr>
      <w:r>
        <w:rPr>
          <w:rFonts w:ascii="Arial" w:cs="Arial" w:eastAsia="Arial" w:hAnsi="Arial"/>
          <w:sz w:val="22"/>
          <w:szCs w:val="22"/>
          <w:b w:val="1"/>
          <w:bCs w:val="1"/>
          <w:color w:val="auto"/>
        </w:rPr>
        <w:t>Section 9.8. Maintenance of Status</w:t>
      </w:r>
      <w:r>
        <w:rPr>
          <w:rFonts w:ascii="Arial" w:cs="Arial" w:eastAsia="Arial" w:hAnsi="Arial"/>
          <w:sz w:val="22"/>
          <w:szCs w:val="22"/>
          <w:color w:val="auto"/>
        </w:rPr>
        <w:t>. Each of the REIT and the Company will cause the REIT to at all times</w:t>
      </w:r>
      <w:r>
        <w:rPr>
          <w:rFonts w:ascii="Arial" w:cs="Arial" w:eastAsia="Arial" w:hAnsi="Arial"/>
          <w:sz w:val="22"/>
          <w:szCs w:val="22"/>
          <w:b w:val="1"/>
          <w:bCs w:val="1"/>
          <w:color w:val="auto"/>
        </w:rPr>
        <w:t xml:space="preserve"> </w:t>
      </w:r>
      <w:r>
        <w:rPr>
          <w:rFonts w:ascii="Arial" w:cs="Arial" w:eastAsia="Arial" w:hAnsi="Arial"/>
          <w:sz w:val="22"/>
          <w:szCs w:val="22"/>
          <w:color w:val="auto"/>
        </w:rPr>
        <w:t>remain qualified as a Real Estate Investment Trust and to remain in compliance in all material respects with all provisions applicable to the qualification of the REIT as a Real Estate Investment Trust.</w:t>
      </w:r>
    </w:p>
    <w:p>
      <w:pPr>
        <w:spacing w:after="0" w:line="21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31</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44" w:name="page45"/>
    <w:bookmarkEnd w:id="44"/>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Although it will not be a Default or an Event of Default if the Company fails to comply with any provision of Section 9 on or after the date of this Agreement and prior to each Closing with respect to the Notes to be issued at such Closing, if such a failure occurs, then any of the Purchasers may elect not to Purchase such Notes on the date of the respective Closing that is specified in Section 3.</w:t>
      </w:r>
    </w:p>
    <w:p>
      <w:pPr>
        <w:spacing w:after="0" w:line="252"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color w:val="auto"/>
        </w:rPr>
        <w:t>NEGATIVE COVENANTS</w:t>
      </w:r>
      <w:r>
        <w:rPr>
          <w:rFonts w:ascii="Arial" w:cs="Arial" w:eastAsia="Arial" w:hAnsi="Arial"/>
          <w:sz w:val="21"/>
          <w:szCs w:val="21"/>
          <w:color w:val="auto"/>
        </w:rPr>
        <w:t>.</w:t>
      </w:r>
    </w:p>
    <w:p>
      <w:pPr>
        <w:spacing w:after="0" w:line="2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From the date of this Agreement until the First Closing and thereafter, each of the REIT and the Company covenants that so long as any of the Notes are outstanding:</w:t>
      </w:r>
    </w:p>
    <w:p>
      <w:pPr>
        <w:spacing w:after="0" w:line="195" w:lineRule="exact"/>
        <w:rPr>
          <w:sz w:val="20"/>
          <w:szCs w:val="20"/>
          <w:color w:val="auto"/>
        </w:rPr>
      </w:pPr>
    </w:p>
    <w:p>
      <w:pPr>
        <w:jc w:val="both"/>
        <w:ind w:firstLine="1513"/>
        <w:spacing w:after="0" w:line="340" w:lineRule="auto"/>
        <w:rPr>
          <w:sz w:val="20"/>
          <w:szCs w:val="20"/>
          <w:color w:val="auto"/>
        </w:rPr>
      </w:pPr>
      <w:r>
        <w:rPr>
          <w:rFonts w:ascii="Arial" w:cs="Arial" w:eastAsia="Arial" w:hAnsi="Arial"/>
          <w:sz w:val="19"/>
          <w:szCs w:val="19"/>
          <w:b w:val="1"/>
          <w:bCs w:val="1"/>
          <w:color w:val="auto"/>
        </w:rPr>
        <w:t>Section 10.1. Transactions with Affiliates</w:t>
      </w:r>
      <w:r>
        <w:rPr>
          <w:rFonts w:ascii="Arial" w:cs="Arial" w:eastAsia="Arial" w:hAnsi="Arial"/>
          <w:sz w:val="19"/>
          <w:szCs w:val="19"/>
          <w:color w:val="auto"/>
        </w:rPr>
        <w:t>. Each of the REIT and the Company will not and will not permit</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Note Party or any Subsidiary to enter into directly or indirectly any transaction or group of related transactions (including without limitation the purchase, lease, sale or exchange of properties of any kind or the rendering of any service) with any Affiliate (other than another Note Party or another Subsidiary), except in the ordinary course and pursuant to the reasonable requirements of such Note Party’s or such Subsidiary’s business and upon fair and reasonable terms no less favorable to such Note Party or such Subsidiary than would be obtainable in a comparable arm’s-length transaction with a Person not an Affiliate.</w:t>
      </w:r>
    </w:p>
    <w:p>
      <w:pPr>
        <w:spacing w:after="0" w:line="169" w:lineRule="exact"/>
        <w:rPr>
          <w:sz w:val="20"/>
          <w:szCs w:val="20"/>
          <w:color w:val="auto"/>
        </w:rPr>
      </w:pPr>
    </w:p>
    <w:p>
      <w:pPr>
        <w:jc w:val="both"/>
        <w:ind w:firstLine="1513"/>
        <w:spacing w:after="0" w:line="349" w:lineRule="auto"/>
        <w:rPr>
          <w:sz w:val="20"/>
          <w:szCs w:val="20"/>
          <w:color w:val="auto"/>
        </w:rPr>
      </w:pPr>
      <w:r>
        <w:rPr>
          <w:rFonts w:ascii="Arial" w:cs="Arial" w:eastAsia="Arial" w:hAnsi="Arial"/>
          <w:sz w:val="19"/>
          <w:szCs w:val="19"/>
          <w:b w:val="1"/>
          <w:bCs w:val="1"/>
          <w:color w:val="auto"/>
        </w:rPr>
        <w:t>Section 10.2. Line of Business</w:t>
      </w:r>
      <w:r>
        <w:rPr>
          <w:rFonts w:ascii="Arial" w:cs="Arial" w:eastAsia="Arial" w:hAnsi="Arial"/>
          <w:sz w:val="19"/>
          <w:szCs w:val="19"/>
          <w:color w:val="auto"/>
        </w:rPr>
        <w:t>. Each of the REIT and the Company will not and will not permit any other Note</w:t>
      </w:r>
      <w:r>
        <w:rPr>
          <w:rFonts w:ascii="Arial" w:cs="Arial" w:eastAsia="Arial" w:hAnsi="Arial"/>
          <w:sz w:val="19"/>
          <w:szCs w:val="19"/>
          <w:b w:val="1"/>
          <w:bCs w:val="1"/>
          <w:color w:val="auto"/>
        </w:rPr>
        <w:t xml:space="preserve"> </w:t>
      </w:r>
      <w:r>
        <w:rPr>
          <w:rFonts w:ascii="Arial" w:cs="Arial" w:eastAsia="Arial" w:hAnsi="Arial"/>
          <w:sz w:val="19"/>
          <w:szCs w:val="19"/>
          <w:color w:val="auto"/>
        </w:rPr>
        <w:t>Party or any Subsidiary to engage in any business if, as a result, the general nature of the business in which the Consolidated Group, taken as a whole, would then be engaged would be substantially changed from the general nature of the business in which the Consolidated Group, taken as a whole, is engaged on the date of this Agreement as described in the Memorandum.</w:t>
      </w:r>
    </w:p>
    <w:p>
      <w:pPr>
        <w:spacing w:after="0" w:line="161" w:lineRule="exact"/>
        <w:rPr>
          <w:sz w:val="20"/>
          <w:szCs w:val="20"/>
          <w:color w:val="auto"/>
        </w:rPr>
      </w:pPr>
    </w:p>
    <w:p>
      <w:pPr>
        <w:jc w:val="both"/>
        <w:ind w:firstLine="1513"/>
        <w:spacing w:after="0" w:line="334" w:lineRule="auto"/>
        <w:rPr>
          <w:sz w:val="20"/>
          <w:szCs w:val="20"/>
          <w:color w:val="auto"/>
        </w:rPr>
      </w:pPr>
      <w:r>
        <w:rPr>
          <w:rFonts w:ascii="Arial" w:cs="Arial" w:eastAsia="Arial" w:hAnsi="Arial"/>
          <w:sz w:val="19"/>
          <w:szCs w:val="19"/>
          <w:b w:val="1"/>
          <w:bCs w:val="1"/>
          <w:color w:val="auto"/>
        </w:rPr>
        <w:t>Section 10.3. Terrorism Sanctions Regulations</w:t>
      </w:r>
      <w:r>
        <w:rPr>
          <w:rFonts w:ascii="Arial" w:cs="Arial" w:eastAsia="Arial" w:hAnsi="Arial"/>
          <w:sz w:val="19"/>
          <w:szCs w:val="19"/>
          <w:color w:val="auto"/>
        </w:rPr>
        <w:t>. Each of the REIT and the Company will not and will not</w:t>
      </w:r>
      <w:r>
        <w:rPr>
          <w:rFonts w:ascii="Arial" w:cs="Arial" w:eastAsia="Arial" w:hAnsi="Arial"/>
          <w:sz w:val="19"/>
          <w:szCs w:val="19"/>
          <w:b w:val="1"/>
          <w:bCs w:val="1"/>
          <w:color w:val="auto"/>
        </w:rPr>
        <w:t xml:space="preserve"> </w:t>
      </w:r>
      <w:r>
        <w:rPr>
          <w:rFonts w:ascii="Arial" w:cs="Arial" w:eastAsia="Arial" w:hAnsi="Arial"/>
          <w:sz w:val="19"/>
          <w:szCs w:val="19"/>
          <w:color w:val="auto"/>
        </w:rPr>
        <w:t>permit any other Note Party or any Controlled Entity (a) to become (including by virtue of being owned or controlled by a Blocked Person), own or control a Blocked Person or any Person that is the target of sanctions imposed by the United Nations or by the European Union, or (b) directly or indirectly to have any investment in or engage in any dealing or transaction (including, without limitation, any investment, dealing or transaction involving the proceeds of the Notes) with any Person if such investment, dealing or transaction (i) would cause any holder to be in violation of any law or regulation applicable to such holder, or (ii) is prohibited by or subject to sanctions under any U.S. Economic Sanctions, or (c) to engage, nor shall any Affiliate of either engage, in any activity that could subject such Person or any holder to sanctions under CISADA or any similar law or regulation with respect to Iran or any other country that is subject to U.S. Economic Sanctions.</w:t>
      </w:r>
    </w:p>
    <w:p>
      <w:pPr>
        <w:spacing w:after="0" w:line="187"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32</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45" w:name="page46"/>
    <w:bookmarkEnd w:id="45"/>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1513"/>
        <w:spacing w:after="0" w:line="294" w:lineRule="auto"/>
        <w:rPr>
          <w:sz w:val="20"/>
          <w:szCs w:val="20"/>
          <w:color w:val="auto"/>
        </w:rPr>
      </w:pPr>
      <w:r>
        <w:rPr>
          <w:rFonts w:ascii="Arial" w:cs="Arial" w:eastAsia="Arial" w:hAnsi="Arial"/>
          <w:sz w:val="22"/>
          <w:szCs w:val="22"/>
          <w:b w:val="1"/>
          <w:bCs w:val="1"/>
          <w:color w:val="auto"/>
        </w:rPr>
        <w:t>Section 10.4. Liens</w:t>
      </w:r>
      <w:r>
        <w:rPr>
          <w:rFonts w:ascii="Arial" w:cs="Arial" w:eastAsia="Arial" w:hAnsi="Arial"/>
          <w:sz w:val="22"/>
          <w:szCs w:val="22"/>
          <w:color w:val="auto"/>
        </w:rPr>
        <w:t>. Each of the REIT and the Company will not and will not permit any other Note Party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Subsidiary to, directly or indirectly, create, incur, assume or suffer to exist any Lien upon any of their property, assets or revenues, whether now owned or hereafter acquired, other than the following:</w:t>
      </w:r>
    </w:p>
    <w:p>
      <w:pPr>
        <w:spacing w:after="0" w:line="211" w:lineRule="exact"/>
        <w:rPr>
          <w:sz w:val="20"/>
          <w:szCs w:val="20"/>
          <w:color w:val="auto"/>
        </w:rPr>
      </w:pPr>
    </w:p>
    <w:p>
      <w:pPr>
        <w:ind w:left="660" w:firstLine="1617"/>
        <w:spacing w:after="0" w:line="302" w:lineRule="auto"/>
        <w:tabs>
          <w:tab w:leader="none" w:pos="2911" w:val="left"/>
        </w:tabs>
        <w:numPr>
          <w:ilvl w:val="0"/>
          <w:numId w:val="45"/>
        </w:numPr>
        <w:rPr>
          <w:rFonts w:ascii="Arial" w:cs="Arial" w:eastAsia="Arial" w:hAnsi="Arial"/>
          <w:sz w:val="22"/>
          <w:szCs w:val="22"/>
          <w:color w:val="auto"/>
        </w:rPr>
      </w:pPr>
      <w:r>
        <w:rPr>
          <w:rFonts w:ascii="Arial" w:cs="Arial" w:eastAsia="Arial" w:hAnsi="Arial"/>
          <w:sz w:val="22"/>
          <w:szCs w:val="22"/>
          <w:color w:val="auto"/>
        </w:rPr>
        <w:t>Liens pursuant to any Loan Document (as defined in the Primary Credit Facility) and Liens pursuant to any Note Document;</w:t>
      </w:r>
    </w:p>
    <w:p>
      <w:pPr>
        <w:spacing w:after="0" w:line="200" w:lineRule="exact"/>
        <w:rPr>
          <w:rFonts w:ascii="Arial" w:cs="Arial" w:eastAsia="Arial" w:hAnsi="Arial"/>
          <w:sz w:val="22"/>
          <w:szCs w:val="22"/>
          <w:color w:val="auto"/>
        </w:rPr>
      </w:pPr>
    </w:p>
    <w:p>
      <w:pPr>
        <w:jc w:val="both"/>
        <w:ind w:left="660" w:firstLine="1617"/>
        <w:spacing w:after="0" w:line="288" w:lineRule="auto"/>
        <w:tabs>
          <w:tab w:leader="none" w:pos="2876" w:val="left"/>
        </w:tabs>
        <w:numPr>
          <w:ilvl w:val="0"/>
          <w:numId w:val="45"/>
        </w:numPr>
        <w:rPr>
          <w:rFonts w:ascii="Arial" w:cs="Arial" w:eastAsia="Arial" w:hAnsi="Arial"/>
          <w:sz w:val="22"/>
          <w:szCs w:val="22"/>
          <w:color w:val="auto"/>
        </w:rPr>
      </w:pPr>
      <w:r>
        <w:rPr>
          <w:rFonts w:ascii="Arial" w:cs="Arial" w:eastAsia="Arial" w:hAnsi="Arial"/>
          <w:sz w:val="22"/>
          <w:szCs w:val="22"/>
          <w:color w:val="auto"/>
        </w:rPr>
        <w:t>Liens for taxes not yet due or Liens for taxes which are being contested in good faith and by appropriate proceedings diligently conducted (which proceedings have the effect of preventing the forfeiture or sale of the property or assets subject to any such Lien), if adequate reserves with respect thereto are maintained on the books of the applicable Person in accordance with GAAP;</w:t>
      </w:r>
    </w:p>
    <w:p>
      <w:pPr>
        <w:spacing w:after="0" w:line="217" w:lineRule="exact"/>
        <w:rPr>
          <w:rFonts w:ascii="Arial" w:cs="Arial" w:eastAsia="Arial" w:hAnsi="Arial"/>
          <w:sz w:val="22"/>
          <w:szCs w:val="22"/>
          <w:color w:val="auto"/>
        </w:rPr>
      </w:pPr>
    </w:p>
    <w:p>
      <w:pPr>
        <w:jc w:val="both"/>
        <w:ind w:left="660" w:firstLine="1617"/>
        <w:spacing w:after="0" w:line="303" w:lineRule="auto"/>
        <w:tabs>
          <w:tab w:leader="none" w:pos="2747" w:val="left"/>
        </w:tabs>
        <w:numPr>
          <w:ilvl w:val="0"/>
          <w:numId w:val="45"/>
        </w:numPr>
        <w:rPr>
          <w:rFonts w:ascii="Arial" w:cs="Arial" w:eastAsia="Arial" w:hAnsi="Arial"/>
          <w:sz w:val="21"/>
          <w:szCs w:val="21"/>
          <w:color w:val="auto"/>
        </w:rPr>
      </w:pPr>
      <w:r>
        <w:rPr>
          <w:rFonts w:ascii="Arial" w:cs="Arial" w:eastAsia="Arial" w:hAnsi="Arial"/>
          <w:sz w:val="21"/>
          <w:szCs w:val="21"/>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(which proceedings have the effect of preventing the forfeiture or sale of the property or assets subject to any such Lien), if adequate reserves with respect thereto are maintained on the books of the applicable Person in accordance with GAAP;</w:t>
      </w:r>
    </w:p>
    <w:p>
      <w:pPr>
        <w:spacing w:after="0" w:line="204" w:lineRule="exact"/>
        <w:rPr>
          <w:rFonts w:ascii="Arial" w:cs="Arial" w:eastAsia="Arial" w:hAnsi="Arial"/>
          <w:sz w:val="21"/>
          <w:szCs w:val="21"/>
          <w:color w:val="auto"/>
        </w:rPr>
      </w:pPr>
    </w:p>
    <w:p>
      <w:pPr>
        <w:ind w:left="660" w:firstLine="1617"/>
        <w:spacing w:after="0" w:line="387" w:lineRule="auto"/>
        <w:tabs>
          <w:tab w:leader="none" w:pos="2809" w:val="left"/>
        </w:tabs>
        <w:numPr>
          <w:ilvl w:val="0"/>
          <w:numId w:val="45"/>
        </w:numPr>
        <w:rPr>
          <w:rFonts w:ascii="Arial" w:cs="Arial" w:eastAsia="Arial" w:hAnsi="Arial"/>
          <w:sz w:val="19"/>
          <w:szCs w:val="19"/>
          <w:color w:val="auto"/>
        </w:rPr>
      </w:pPr>
      <w:r>
        <w:rPr>
          <w:rFonts w:ascii="Arial" w:cs="Arial" w:eastAsia="Arial" w:hAnsi="Arial"/>
          <w:sz w:val="19"/>
          <w:szCs w:val="19"/>
          <w:color w:val="auto"/>
        </w:rPr>
        <w:t>pledges or deposits in the ordinary course of business in connection with workers’ compensation, unemployment insurance and other social security legislation, other than any Lien imposed by ERISA;</w:t>
      </w:r>
    </w:p>
    <w:p>
      <w:pPr>
        <w:spacing w:after="0" w:line="132" w:lineRule="exact"/>
        <w:rPr>
          <w:rFonts w:ascii="Arial" w:cs="Arial" w:eastAsia="Arial" w:hAnsi="Arial"/>
          <w:sz w:val="19"/>
          <w:szCs w:val="19"/>
          <w:color w:val="auto"/>
        </w:rPr>
      </w:pPr>
    </w:p>
    <w:p>
      <w:pPr>
        <w:jc w:val="both"/>
        <w:ind w:left="660" w:firstLine="1617"/>
        <w:spacing w:after="0" w:line="292" w:lineRule="auto"/>
        <w:tabs>
          <w:tab w:leader="none" w:pos="2835" w:val="left"/>
        </w:tabs>
        <w:numPr>
          <w:ilvl w:val="0"/>
          <w:numId w:val="45"/>
        </w:numPr>
        <w:rPr>
          <w:rFonts w:ascii="Arial" w:cs="Arial" w:eastAsia="Arial" w:hAnsi="Arial"/>
          <w:sz w:val="22"/>
          <w:szCs w:val="22"/>
          <w:color w:val="auto"/>
        </w:rPr>
      </w:pPr>
      <w:r>
        <w:rPr>
          <w:rFonts w:ascii="Arial" w:cs="Arial" w:eastAsia="Arial" w:hAnsi="Arial"/>
          <w:sz w:val="22"/>
          <w:szCs w:val="22"/>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211" w:lineRule="exact"/>
        <w:rPr>
          <w:rFonts w:ascii="Arial" w:cs="Arial" w:eastAsia="Arial" w:hAnsi="Arial"/>
          <w:sz w:val="22"/>
          <w:szCs w:val="22"/>
          <w:color w:val="auto"/>
        </w:rPr>
      </w:pPr>
    </w:p>
    <w:p>
      <w:pPr>
        <w:jc w:val="both"/>
        <w:ind w:left="660" w:firstLine="1617"/>
        <w:spacing w:after="0" w:line="346" w:lineRule="auto"/>
        <w:tabs>
          <w:tab w:leader="none" w:pos="2794" w:val="left"/>
        </w:tabs>
        <w:numPr>
          <w:ilvl w:val="0"/>
          <w:numId w:val="45"/>
        </w:numPr>
        <w:rPr>
          <w:rFonts w:ascii="Arial" w:cs="Arial" w:eastAsia="Arial" w:hAnsi="Arial"/>
          <w:sz w:val="19"/>
          <w:szCs w:val="19"/>
          <w:color w:val="auto"/>
        </w:rPr>
      </w:pPr>
      <w:r>
        <w:rPr>
          <w:rFonts w:ascii="Arial" w:cs="Arial" w:eastAsia="Arial" w:hAnsi="Arial"/>
          <w:sz w:val="19"/>
          <w:szCs w:val="19"/>
          <w:color w:val="auto"/>
        </w:rPr>
        <w:t>easements, rights-of-way, restrictions, restrictive covenants, encroachments, protrusions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 and any replacement, extension or renewal of any such Lien;</w:t>
      </w:r>
    </w:p>
    <w:p>
      <w:pPr>
        <w:spacing w:after="0" w:line="171" w:lineRule="exact"/>
        <w:rPr>
          <w:rFonts w:ascii="Arial" w:cs="Arial" w:eastAsia="Arial" w:hAnsi="Arial"/>
          <w:sz w:val="19"/>
          <w:szCs w:val="19"/>
          <w:color w:val="auto"/>
        </w:rPr>
      </w:pPr>
    </w:p>
    <w:p>
      <w:pPr>
        <w:ind w:left="2840" w:hanging="563"/>
        <w:spacing w:after="0"/>
        <w:tabs>
          <w:tab w:leader="none" w:pos="28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Liens securing judgments for the payment of money not constituting an Event of Default under</w:t>
      </w:r>
    </w:p>
    <w:p>
      <w:pPr>
        <w:spacing w:after="0" w:line="7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Section 11(i);</w:t>
      </w:r>
    </w:p>
    <w:p>
      <w:pPr>
        <w:spacing w:after="0" w:line="287"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33</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46" w:name="page47"/>
    <w:bookmarkEnd w:id="46"/>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620" w:firstLine="1617"/>
        <w:spacing w:after="0" w:line="306" w:lineRule="auto"/>
        <w:tabs>
          <w:tab w:leader="none" w:pos="2748"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The rights of tenants under leases and subleases of, and the rights of managers under management agreements in respect of, Portfolio Properties, in each case entered into in the ordinary course of business consistent with past practice of the REIT and its Subsidiaries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such leases and subleases contain market terms and conditions (excluding rent) and (ii) such Liens do not secure any Indebtedness;</w:t>
      </w:r>
    </w:p>
    <w:p>
      <w:pPr>
        <w:spacing w:after="0" w:line="199" w:lineRule="exact"/>
        <w:rPr>
          <w:rFonts w:ascii="Arial" w:cs="Arial" w:eastAsia="Arial" w:hAnsi="Arial"/>
          <w:sz w:val="21"/>
          <w:szCs w:val="21"/>
          <w:color w:val="auto"/>
        </w:rPr>
      </w:pPr>
    </w:p>
    <w:p>
      <w:pPr>
        <w:jc w:val="both"/>
        <w:ind w:left="620" w:firstLine="1617"/>
        <w:spacing w:after="0" w:line="338" w:lineRule="auto"/>
        <w:tabs>
          <w:tab w:leader="none" w:pos="2712"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Liens encumbering assets of a Note Party or Subsidiary thereof not otherwise permitted under this Section 10.4;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Liens do not at any time encumber any Unencumbered Eligible Property, (ii) such Liens do not at any time encumber the Equity Interests of any Person who owns or ground leases an Unencumbered Eligible Property (or the Equity Interests of any direct or indirect Subsidiary of the Company that owns any Equity Interests in such Person) and (iii) after giving pro forma effect to the incurrence of any such Lien (and all Indebtedness and other obligations secured thereby), the Note Parties are in compliance with the financial covenants contained in Section 10.9(a) through (f);</w:t>
      </w:r>
    </w:p>
    <w:p>
      <w:pPr>
        <w:spacing w:after="0" w:line="179" w:lineRule="exact"/>
        <w:rPr>
          <w:rFonts w:ascii="Arial" w:cs="Arial" w:eastAsia="Arial" w:hAnsi="Arial"/>
          <w:sz w:val="19"/>
          <w:szCs w:val="19"/>
          <w:color w:val="auto"/>
        </w:rPr>
      </w:pPr>
    </w:p>
    <w:p>
      <w:pPr>
        <w:jc w:val="both"/>
        <w:ind w:left="620" w:firstLine="1617"/>
        <w:spacing w:after="0" w:line="335" w:lineRule="auto"/>
        <w:tabs>
          <w:tab w:leader="none" w:pos="2695"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Section 10.5(c);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Liens do not at any time encumber any Unencumbered Eligible Property, (ii) such Liens do not at any time encumber the Equity Interests of any Person who owns or ground leases an Unencumbered Eligible Property (or the Equity Interests of any direct or indirect Subsidiary of the Company that owns any Equity Interests in such Person), (iii) in the case of any such Lien incurred by a Note Party, such Lien does not encumber any property other than the property financed by such Indebtedness, (iv) in the case of any such Lien incurred by a Subsidiary that is not a Note Party, such Lien does not encumber any property other than the property of such Subsidiary and (v) the Indebtedness secured thereby does not exceed the cost or fair market value of the property encumbered thereby (as of the date of the incurrence of such Indebtedness), whichever is lower;</w:t>
      </w:r>
    </w:p>
    <w:p>
      <w:pPr>
        <w:spacing w:after="0" w:line="180" w:lineRule="exact"/>
        <w:rPr>
          <w:rFonts w:ascii="Arial" w:cs="Arial" w:eastAsia="Arial" w:hAnsi="Arial"/>
          <w:sz w:val="19"/>
          <w:szCs w:val="19"/>
          <w:color w:val="auto"/>
        </w:rPr>
      </w:pPr>
    </w:p>
    <w:p>
      <w:pPr>
        <w:jc w:val="both"/>
        <w:ind w:left="620" w:firstLine="1617"/>
        <w:spacing w:after="0" w:line="288" w:lineRule="auto"/>
        <w:tabs>
          <w:tab w:leader="none" w:pos="2773" w:val="left"/>
        </w:tabs>
        <w:numPr>
          <w:ilvl w:val="0"/>
          <w:numId w:val="46"/>
        </w:numPr>
        <w:rPr>
          <w:rFonts w:ascii="Arial" w:cs="Arial" w:eastAsia="Arial" w:hAnsi="Arial"/>
          <w:sz w:val="22"/>
          <w:szCs w:val="22"/>
          <w:color w:val="auto"/>
        </w:rPr>
      </w:pPr>
      <w:r>
        <w:rPr>
          <w:rFonts w:ascii="Arial" w:cs="Arial" w:eastAsia="Arial" w:hAnsi="Arial"/>
          <w:sz w:val="22"/>
          <w:szCs w:val="22"/>
          <w:color w:val="auto"/>
        </w:rPr>
        <w:t>All Liens with respect to any Portfolio Property (other than an Unencumbered Eligible Property) that are existing on the date such Portfolio Property is acquired or ground leased by a Subsidiary of the Company, to the extent such Liens are disclosed in the title report for such Portfolio Property received by such Subsidiary on or prior to the date of such acquisition or ground lease;</w:t>
      </w:r>
    </w:p>
    <w:p>
      <w:pPr>
        <w:spacing w:after="0" w:line="217" w:lineRule="exact"/>
        <w:rPr>
          <w:rFonts w:ascii="Arial" w:cs="Arial" w:eastAsia="Arial" w:hAnsi="Arial"/>
          <w:sz w:val="22"/>
          <w:szCs w:val="22"/>
          <w:color w:val="auto"/>
        </w:rPr>
      </w:pPr>
    </w:p>
    <w:p>
      <w:pPr>
        <w:ind w:left="620" w:right="20" w:firstLine="1617"/>
        <w:spacing w:after="0" w:line="302" w:lineRule="auto"/>
        <w:tabs>
          <w:tab w:leader="none" w:pos="2755"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 the case of Equity Interests of a Controlled Joint Venture, buy/sell rights with respect to such Equity Interests on customary terms and conditions;</w:t>
      </w:r>
    </w:p>
    <w:p>
      <w:pPr>
        <w:spacing w:after="0" w:line="200" w:lineRule="exact"/>
        <w:rPr>
          <w:rFonts w:ascii="Arial" w:cs="Arial" w:eastAsia="Arial" w:hAnsi="Arial"/>
          <w:sz w:val="22"/>
          <w:szCs w:val="22"/>
          <w:color w:val="auto"/>
        </w:rPr>
      </w:pPr>
    </w:p>
    <w:p>
      <w:pPr>
        <w:ind w:left="2760" w:hanging="523"/>
        <w:spacing w:after="0"/>
        <w:tabs>
          <w:tab w:leader="none" w:pos="27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Liens existing on the Closing and listed on Schedule 10.4(m);</w:t>
      </w:r>
    </w:p>
    <w:p>
      <w:pPr>
        <w:spacing w:after="0" w:line="287"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34</w:t>
      </w:r>
      <w:r>
        <w:rPr>
          <w:rFonts w:ascii="MS PGothic" w:cs="MS PGothic" w:eastAsia="MS PGothic" w:hAnsi="MS PGothic"/>
          <w:sz w:val="22"/>
          <w:szCs w:val="22"/>
          <w:color w:val="auto"/>
        </w:rPr>
        <w:t>‑</w:t>
      </w:r>
    </w:p>
    <w:p>
      <w:pPr>
        <w:sectPr>
          <w:pgSz w:w="11900" w:h="16838" w:orient="portrait"/>
          <w:cols w:equalWidth="0" w:num="1">
            <w:col w:w="11380"/>
          </w:cols>
          <w:pgMar w:left="280" w:top="280" w:right="239" w:bottom="1440" w:gutter="0" w:footer="0" w:header="0"/>
        </w:sectPr>
      </w:pPr>
    </w:p>
    <w:bookmarkStart w:id="47" w:name="page48"/>
    <w:bookmarkEnd w:id="47"/>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firstLine="1617"/>
        <w:spacing w:after="0" w:line="302" w:lineRule="auto"/>
        <w:tabs>
          <w:tab w:leader="none" w:pos="2791" w:val="left"/>
        </w:tabs>
        <w:numPr>
          <w:ilvl w:val="0"/>
          <w:numId w:val="47"/>
        </w:numPr>
        <w:rPr>
          <w:rFonts w:ascii="Arial" w:cs="Arial" w:eastAsia="Arial" w:hAnsi="Arial"/>
          <w:sz w:val="22"/>
          <w:szCs w:val="22"/>
          <w:color w:val="auto"/>
        </w:rPr>
      </w:pPr>
      <w:r>
        <w:rPr>
          <w:rFonts w:ascii="Arial" w:cs="Arial" w:eastAsia="Arial" w:hAnsi="Arial"/>
          <w:sz w:val="22"/>
          <w:szCs w:val="22"/>
          <w:color w:val="auto"/>
        </w:rPr>
        <w:t>Liens and rights of setoff of banks and securities intermediaries in respect of deposit accounts and securities accounts maintained in the ordinary course of business; and</w:t>
      </w:r>
    </w:p>
    <w:p>
      <w:pPr>
        <w:spacing w:after="0" w:line="200" w:lineRule="exact"/>
        <w:rPr>
          <w:rFonts w:ascii="Arial" w:cs="Arial" w:eastAsia="Arial" w:hAnsi="Arial"/>
          <w:sz w:val="22"/>
          <w:szCs w:val="22"/>
          <w:color w:val="auto"/>
        </w:rPr>
      </w:pPr>
    </w:p>
    <w:p>
      <w:pPr>
        <w:ind w:left="2740" w:hanging="463"/>
        <w:spacing w:after="0"/>
        <w:tabs>
          <w:tab w:leader="none" w:pos="27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Permitted Pari Passu Encumbrances;</w:t>
      </w:r>
    </w:p>
    <w:p>
      <w:pPr>
        <w:spacing w:after="0" w:line="287" w:lineRule="exact"/>
        <w:rPr>
          <w:sz w:val="20"/>
          <w:szCs w:val="20"/>
          <w:color w:val="auto"/>
        </w:rPr>
      </w:pPr>
    </w:p>
    <w:p>
      <w:pPr>
        <w:jc w:val="both"/>
        <w:spacing w:after="0" w:line="338" w:lineRule="auto"/>
        <w:rPr>
          <w:sz w:val="20"/>
          <w:szCs w:val="20"/>
          <w:color w:val="auto"/>
        </w:rPr>
      </w:pP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notwithstanding the foregoing, each of the REIT and the Company will not and will not permit any other Note</w:t>
      </w:r>
      <w:r>
        <w:rPr>
          <w:rFonts w:ascii="Arial" w:cs="Arial" w:eastAsia="Arial" w:hAnsi="Arial"/>
          <w:sz w:val="19"/>
          <w:szCs w:val="19"/>
          <w:i w:val="1"/>
          <w:iCs w:val="1"/>
          <w:color w:val="auto"/>
        </w:rPr>
        <w:t xml:space="preserve"> </w:t>
      </w:r>
      <w:r>
        <w:rPr>
          <w:rFonts w:ascii="Arial" w:cs="Arial" w:eastAsia="Arial" w:hAnsi="Arial"/>
          <w:sz w:val="19"/>
          <w:szCs w:val="19"/>
          <w:color w:val="auto"/>
        </w:rPr>
        <w:t>Party or any Subsidiary to, directly or indirectly secure any Indebtedness outstanding under or pursuant to the Primary Credit Facility unless and until the Notes (and any guaranty delivered in connection therewith) shall concurrently be secured equally and ratably with the Primary Credit Facility pursuant to documentation reasonably acceptable to the Required Holders in substance and in form, including, without limitation, an intercreditor agreement and opinions of counsel to such Note Party and/or any such Subsidiary, as the case may be, from counsel that is reasonably acceptable to the Required Holders;</w:t>
      </w:r>
    </w:p>
    <w:p>
      <w:pPr>
        <w:spacing w:after="0" w:line="180" w:lineRule="exact"/>
        <w:rPr>
          <w:sz w:val="20"/>
          <w:szCs w:val="20"/>
          <w:color w:val="auto"/>
        </w:rPr>
      </w:pPr>
    </w:p>
    <w:p>
      <w:pPr>
        <w:jc w:val="both"/>
        <w:spacing w:after="0" w:line="292" w:lineRule="auto"/>
        <w:rPr>
          <w:sz w:val="20"/>
          <w:szCs w:val="20"/>
          <w:color w:val="auto"/>
        </w:rPr>
      </w:pPr>
      <w:r>
        <w:rPr>
          <w:rFonts w:ascii="Arial" w:cs="Arial" w:eastAsia="Arial" w:hAnsi="Arial"/>
          <w:sz w:val="22"/>
          <w:szCs w:val="22"/>
          <w:i w:val="1"/>
          <w:iCs w:val="1"/>
          <w:color w:val="auto"/>
        </w:rPr>
        <w:t xml:space="preserve">provided, further, </w:t>
      </w:r>
      <w:r>
        <w:rPr>
          <w:rFonts w:ascii="Arial" w:cs="Arial" w:eastAsia="Arial" w:hAnsi="Arial"/>
          <w:sz w:val="22"/>
          <w:szCs w:val="22"/>
          <w:color w:val="auto"/>
        </w:rPr>
        <w:t>that notwithstanding the foregoing clauses of this Section 10.4, in no event shall any Liens (other than Permitted</w:t>
      </w:r>
      <w:r>
        <w:rPr>
          <w:rFonts w:ascii="Arial" w:cs="Arial" w:eastAsia="Arial" w:hAnsi="Arial"/>
          <w:sz w:val="22"/>
          <w:szCs w:val="22"/>
          <w:i w:val="1"/>
          <w:iCs w:val="1"/>
          <w:color w:val="auto"/>
        </w:rPr>
        <w:t xml:space="preserve"> </w:t>
      </w:r>
      <w:r>
        <w:rPr>
          <w:rFonts w:ascii="Arial" w:cs="Arial" w:eastAsia="Arial" w:hAnsi="Arial"/>
          <w:sz w:val="22"/>
          <w:szCs w:val="22"/>
          <w:color w:val="auto"/>
        </w:rPr>
        <w:t>Judgment Liens, Permitted Pari Passu Encumbrances and Liens permitted by clauses (a), (b), (c), (f) and (h) above) encumber any Unencumbered Eligible Property.</w:t>
      </w:r>
    </w:p>
    <w:p>
      <w:pPr>
        <w:spacing w:after="0" w:line="205" w:lineRule="exact"/>
        <w:rPr>
          <w:sz w:val="20"/>
          <w:szCs w:val="20"/>
          <w:color w:val="auto"/>
        </w:rPr>
      </w:pPr>
    </w:p>
    <w:p>
      <w:pPr>
        <w:jc w:val="both"/>
        <w:ind w:firstLine="1513"/>
        <w:spacing w:after="0" w:line="308" w:lineRule="auto"/>
        <w:rPr>
          <w:sz w:val="20"/>
          <w:szCs w:val="20"/>
          <w:color w:val="auto"/>
        </w:rPr>
      </w:pPr>
      <w:r>
        <w:rPr>
          <w:rFonts w:ascii="Arial" w:cs="Arial" w:eastAsia="Arial" w:hAnsi="Arial"/>
          <w:sz w:val="22"/>
          <w:szCs w:val="22"/>
          <w:b w:val="1"/>
          <w:bCs w:val="1"/>
          <w:color w:val="auto"/>
        </w:rPr>
        <w:t xml:space="preserve">Section 10.5. Indebtedness. </w:t>
      </w:r>
      <w:r>
        <w:rPr>
          <w:rFonts w:ascii="Arial" w:cs="Arial" w:eastAsia="Arial" w:hAnsi="Arial"/>
          <w:sz w:val="22"/>
          <w:szCs w:val="22"/>
          <w:color w:val="auto"/>
        </w:rPr>
        <w:t>Each of the REIT and the Company will not and will not permit any Note Party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Subsidiary to create, incur, assume or suffer to exist any Indebtedness, except:</w:t>
      </w:r>
    </w:p>
    <w:p>
      <w:pPr>
        <w:spacing w:after="0" w:line="194" w:lineRule="exact"/>
        <w:rPr>
          <w:sz w:val="20"/>
          <w:szCs w:val="20"/>
          <w:color w:val="auto"/>
        </w:rPr>
      </w:pPr>
    </w:p>
    <w:p>
      <w:pPr>
        <w:ind w:left="2740" w:hanging="463"/>
        <w:spacing w:after="0"/>
        <w:tabs>
          <w:tab w:leader="none" w:pos="2740"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“Obligations” as defined in the Primary Credit Facility and the Obligations;</w:t>
      </w:r>
    </w:p>
    <w:p>
      <w:pPr>
        <w:spacing w:after="0" w:line="287" w:lineRule="exact"/>
        <w:rPr>
          <w:rFonts w:ascii="Arial" w:cs="Arial" w:eastAsia="Arial" w:hAnsi="Arial"/>
          <w:sz w:val="22"/>
          <w:szCs w:val="22"/>
          <w:color w:val="auto"/>
        </w:rPr>
      </w:pPr>
    </w:p>
    <w:p>
      <w:pPr>
        <w:ind w:left="2840" w:hanging="563"/>
        <w:spacing w:after="0"/>
        <w:tabs>
          <w:tab w:leader="none" w:pos="2840" w:val="left"/>
        </w:tabs>
        <w:numPr>
          <w:ilvl w:val="1"/>
          <w:numId w:val="48"/>
        </w:numPr>
        <w:rPr>
          <w:rFonts w:ascii="Arial" w:cs="Arial" w:eastAsia="Arial" w:hAnsi="Arial"/>
          <w:sz w:val="19"/>
          <w:szCs w:val="19"/>
          <w:color w:val="auto"/>
        </w:rPr>
      </w:pPr>
      <w:r>
        <w:rPr>
          <w:rFonts w:ascii="Arial" w:cs="Arial" w:eastAsia="Arial" w:hAnsi="Arial"/>
          <w:sz w:val="19"/>
          <w:szCs w:val="19"/>
          <w:color w:val="auto"/>
        </w:rPr>
        <w:t>in addition to Indebtedness permitted under clause (a) above, (i) Pari Passu Obligations, and (ii)</w:t>
      </w:r>
    </w:p>
    <w:p>
      <w:pPr>
        <w:spacing w:after="0" w:line="78" w:lineRule="exact"/>
        <w:rPr>
          <w:rFonts w:ascii="Arial" w:cs="Arial" w:eastAsia="Arial" w:hAnsi="Arial"/>
          <w:sz w:val="19"/>
          <w:szCs w:val="19"/>
          <w:color w:val="auto"/>
        </w:rPr>
      </w:pPr>
    </w:p>
    <w:p>
      <w:pPr>
        <w:jc w:val="both"/>
        <w:ind w:left="660" w:hanging="4"/>
        <w:spacing w:after="0" w:line="287" w:lineRule="auto"/>
        <w:tabs>
          <w:tab w:leader="none" w:pos="1055"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Secured Recourse Indebtedness of the Company or any Guarantor owing to Persons that are not members of the Consolidated Group and (B) Recourse Indebtedness of Subsidiaries that are not Guarantors owing to Persons that are not members of the Consolidated Group,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aggregate outstanding principal amount of all outstanding Indebtedness described in clauses (ii)(A) and (ii)(B) shall not at any time exceed fifteen percent (15%) of Total Asset Value at such time;</w:t>
      </w:r>
    </w:p>
    <w:p>
      <w:pPr>
        <w:spacing w:after="0" w:line="216" w:lineRule="exact"/>
        <w:rPr>
          <w:rFonts w:ascii="Arial" w:cs="Arial" w:eastAsia="Arial" w:hAnsi="Arial"/>
          <w:sz w:val="22"/>
          <w:szCs w:val="22"/>
          <w:color w:val="auto"/>
        </w:rPr>
      </w:pPr>
    </w:p>
    <w:p>
      <w:pPr>
        <w:jc w:val="both"/>
        <w:ind w:left="660" w:firstLine="1617"/>
        <w:spacing w:after="0" w:line="292" w:lineRule="auto"/>
        <w:tabs>
          <w:tab w:leader="none" w:pos="2757"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Nonrecourse Indebtedness of the Note Parties and their Subsidiaries;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after giving pro forma effect to the incurrence thereof, the Note Parties are in compliance with the financial covenants contained in Section 10.9(a) through (f);</w:t>
      </w:r>
    </w:p>
    <w:p>
      <w:pPr>
        <w:spacing w:after="0" w:line="211" w:lineRule="exact"/>
        <w:rPr>
          <w:rFonts w:ascii="Arial" w:cs="Arial" w:eastAsia="Arial" w:hAnsi="Arial"/>
          <w:sz w:val="22"/>
          <w:szCs w:val="22"/>
          <w:color w:val="auto"/>
        </w:rPr>
      </w:pPr>
    </w:p>
    <w:p>
      <w:pPr>
        <w:jc w:val="both"/>
        <w:ind w:left="660" w:firstLine="1617"/>
        <w:spacing w:after="0" w:line="292" w:lineRule="auto"/>
        <w:tabs>
          <w:tab w:leader="none" w:pos="2769"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intercompany loans and advances to the extent expressly permitted under Section 10.6(b);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all such intercompany Indebtedness owed by any Note Party shall be unsecured and subordinated in right of payment to the payment in full of the</w:t>
      </w:r>
    </w:p>
    <w:p>
      <w:pPr>
        <w:spacing w:after="0" w:line="21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35</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48" w:name="page49"/>
    <w:bookmarkEnd w:id="48"/>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660"/>
        <w:spacing w:after="0" w:line="346" w:lineRule="auto"/>
        <w:rPr>
          <w:sz w:val="20"/>
          <w:szCs w:val="20"/>
          <w:color w:val="auto"/>
        </w:rPr>
      </w:pPr>
      <w:r>
        <w:rPr>
          <w:rFonts w:ascii="Arial" w:cs="Arial" w:eastAsia="Arial" w:hAnsi="Arial"/>
          <w:sz w:val="19"/>
          <w:szCs w:val="19"/>
          <w:color w:val="auto"/>
        </w:rPr>
        <w:t>Obligations pursuant to the terms of any applicable promissory notes or an intercompany subordination agreement, in each case, in form and substance reasonably satisfactory to the Required Holders (provided that subordination terms substantially identical to those that are reasonably satisfactory to the administrative agent under the Primary Credit Facility with respect to this Agreement and the Notes shall be deemed to be reasonably satisfactory to the Required Holders); and</w:t>
      </w:r>
    </w:p>
    <w:p>
      <w:pPr>
        <w:spacing w:after="0" w:line="172" w:lineRule="exact"/>
        <w:rPr>
          <w:sz w:val="20"/>
          <w:szCs w:val="20"/>
          <w:color w:val="auto"/>
        </w:rPr>
      </w:pPr>
    </w:p>
    <w:p>
      <w:pPr>
        <w:ind w:left="2280"/>
        <w:spacing w:after="0"/>
        <w:tabs>
          <w:tab w:leader="none" w:pos="27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the Guaranty by a Note Party of Pari Passu Obligations.</w:t>
      </w:r>
    </w:p>
    <w:p>
      <w:pPr>
        <w:spacing w:after="0" w:line="281" w:lineRule="exact"/>
        <w:rPr>
          <w:sz w:val="20"/>
          <w:szCs w:val="20"/>
          <w:color w:val="auto"/>
        </w:rPr>
      </w:pPr>
    </w:p>
    <w:p>
      <w:pPr>
        <w:ind w:firstLine="1513"/>
        <w:spacing w:after="0" w:line="308" w:lineRule="auto"/>
        <w:rPr>
          <w:sz w:val="20"/>
          <w:szCs w:val="20"/>
          <w:color w:val="auto"/>
        </w:rPr>
      </w:pPr>
      <w:r>
        <w:rPr>
          <w:rFonts w:ascii="Arial" w:cs="Arial" w:eastAsia="Arial" w:hAnsi="Arial"/>
          <w:sz w:val="22"/>
          <w:szCs w:val="22"/>
          <w:b w:val="1"/>
          <w:bCs w:val="1"/>
          <w:color w:val="auto"/>
        </w:rPr>
        <w:t>Section 10.6. Investments</w:t>
      </w:r>
      <w:r>
        <w:rPr>
          <w:rFonts w:ascii="Arial" w:cs="Arial" w:eastAsia="Arial" w:hAnsi="Arial"/>
          <w:sz w:val="22"/>
          <w:szCs w:val="22"/>
          <w:color w:val="auto"/>
        </w:rPr>
        <w:t>. Each of the REIT and the Company will not and will not permit any Note Party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Subsidiary to make or hold any Investments, except:</w:t>
      </w:r>
    </w:p>
    <w:p>
      <w:pPr>
        <w:spacing w:after="0" w:line="194" w:lineRule="exact"/>
        <w:rPr>
          <w:sz w:val="20"/>
          <w:szCs w:val="20"/>
          <w:color w:val="auto"/>
        </w:rPr>
      </w:pPr>
    </w:p>
    <w:p>
      <w:pPr>
        <w:ind w:left="2740" w:hanging="463"/>
        <w:spacing w:after="0"/>
        <w:tabs>
          <w:tab w:leader="none" w:pos="2740" w:val="left"/>
        </w:tabs>
        <w:numPr>
          <w:ilvl w:val="1"/>
          <w:numId w:val="50"/>
        </w:numPr>
        <w:rPr>
          <w:rFonts w:ascii="Arial" w:cs="Arial" w:eastAsia="Arial" w:hAnsi="Arial"/>
          <w:sz w:val="21"/>
          <w:szCs w:val="21"/>
          <w:color w:val="auto"/>
        </w:rPr>
      </w:pPr>
      <w:r>
        <w:rPr>
          <w:rFonts w:ascii="Arial" w:cs="Arial" w:eastAsia="Arial" w:hAnsi="Arial"/>
          <w:sz w:val="21"/>
          <w:szCs w:val="21"/>
          <w:color w:val="auto"/>
        </w:rPr>
        <w:t>Investments held by the REIT and its Subsidiaries in the form of cash or Cash Equivalents;</w:t>
      </w:r>
    </w:p>
    <w:p>
      <w:pPr>
        <w:spacing w:after="0" w:line="298" w:lineRule="exact"/>
        <w:rPr>
          <w:rFonts w:ascii="Arial" w:cs="Arial" w:eastAsia="Arial" w:hAnsi="Arial"/>
          <w:sz w:val="21"/>
          <w:szCs w:val="21"/>
          <w:color w:val="auto"/>
        </w:rPr>
      </w:pPr>
    </w:p>
    <w:p>
      <w:pPr>
        <w:jc w:val="both"/>
        <w:ind w:left="660" w:firstLine="1617"/>
        <w:spacing w:after="0" w:line="326" w:lineRule="auto"/>
        <w:tabs>
          <w:tab w:leader="none" w:pos="2835"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Investments of (i) the Company in any Guarantor, (ii) a Guarantor in the Company or any other Guarantor, (iii) the Company or a Guarantor, directly or indirectly, in any Unconsolidated Affiliate so long as, after giving effect to any such Investment, (x) the Aggregate Unconsolidated Affiliate Investment Amount does not exceed 20% of the Total Asset Value at such time and (y) the Aggregate Unconsolidated Affiliate Investment Amount, when taken together with the Aggregate Real Estate Loan Investment Amount at such time, the Aggregate Construction Costs Investment Amount at such time, the Aggregate Unimproved Land Holdings Investment Amount at such time and the Aggregate Non-Note Party Investment Amount at such time, does not exceed 25% of the Total Asset Value at such time, (iv) the Company or a Guarantor, directly or indirectly, in any Consolidated Subsidiary of the REIT that is not a Note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effect to such Investment, (x) the Aggregate Non-Note Party Investment Amount does not exceed 20% of the Total Asset Value at such time and (y) the Aggregate Non-Note Party Investment Amount, when taken together with the Aggregate Real Estate Loan Investment Amount at such time, the Aggregate Construction Costs Investment Amount at such time, the Aggregate Unimproved Land Holdings Investment Amount at such time and the Aggregate Unconsolidated Affiliate Investment Amount at such time, does not exceed 25% of the Total Asset Value at such time;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the foregoing proviso shall not apply after the consummation of a Permitted Subsidiary Guarantor Release, or</w:t>
      </w:r>
    </w:p>
    <w:p>
      <w:pPr>
        <w:spacing w:after="0" w:line="4" w:lineRule="exact"/>
        <w:rPr>
          <w:rFonts w:ascii="Arial" w:cs="Arial" w:eastAsia="Arial" w:hAnsi="Arial"/>
          <w:sz w:val="19"/>
          <w:szCs w:val="19"/>
          <w:color w:val="auto"/>
        </w:rPr>
      </w:pPr>
    </w:p>
    <w:p>
      <w:pPr>
        <w:ind w:left="960" w:hanging="304"/>
        <w:spacing w:after="0"/>
        <w:tabs>
          <w:tab w:leader="none" w:pos="9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Subsidiary of the Company that is not a Note Party in any other Subsidiary of the Company that is not a Note Party;</w:t>
      </w:r>
    </w:p>
    <w:p>
      <w:pPr>
        <w:spacing w:after="0" w:line="321" w:lineRule="exact"/>
        <w:rPr>
          <w:rFonts w:ascii="Arial" w:cs="Arial" w:eastAsia="Arial" w:hAnsi="Arial"/>
          <w:sz w:val="19"/>
          <w:szCs w:val="19"/>
          <w:color w:val="auto"/>
        </w:rPr>
      </w:pPr>
    </w:p>
    <w:p>
      <w:pPr>
        <w:ind w:left="2820" w:hanging="543"/>
        <w:spacing w:after="0"/>
        <w:tabs>
          <w:tab w:leader="none" w:pos="2820" w:val="left"/>
        </w:tabs>
        <w:numPr>
          <w:ilvl w:val="1"/>
          <w:numId w:val="51"/>
        </w:numPr>
        <w:rPr>
          <w:rFonts w:ascii="Arial" w:cs="Arial" w:eastAsia="Arial" w:hAnsi="Arial"/>
          <w:sz w:val="19"/>
          <w:szCs w:val="19"/>
          <w:color w:val="auto"/>
        </w:rPr>
      </w:pPr>
      <w:r>
        <w:rPr>
          <w:rFonts w:ascii="Arial" w:cs="Arial" w:eastAsia="Arial" w:hAnsi="Arial"/>
          <w:sz w:val="19"/>
          <w:szCs w:val="19"/>
          <w:color w:val="auto"/>
        </w:rPr>
        <w:t>Investments in unimproved land holdings so long as, after giving effect to any such Investment,</w:t>
      </w:r>
    </w:p>
    <w:p>
      <w:pPr>
        <w:spacing w:after="0" w:line="78" w:lineRule="exact"/>
        <w:rPr>
          <w:rFonts w:ascii="Arial" w:cs="Arial" w:eastAsia="Arial" w:hAnsi="Arial"/>
          <w:sz w:val="19"/>
          <w:szCs w:val="19"/>
          <w:color w:val="auto"/>
        </w:rPr>
      </w:pPr>
    </w:p>
    <w:p>
      <w:pPr>
        <w:ind w:left="920" w:hanging="264"/>
        <w:spacing w:after="0"/>
        <w:tabs>
          <w:tab w:leader="none" w:pos="9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Aggregate Unimproved Land Holdings Investment Amount</w:t>
      </w:r>
    </w:p>
    <w:p>
      <w:pPr>
        <w:spacing w:after="0" w:line="287"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36</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49" w:name="page50"/>
    <w:bookmarkEnd w:id="49"/>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620"/>
        <w:spacing w:after="0" w:line="287" w:lineRule="auto"/>
        <w:rPr>
          <w:sz w:val="20"/>
          <w:szCs w:val="20"/>
          <w:color w:val="auto"/>
        </w:rPr>
      </w:pPr>
      <w:r>
        <w:rPr>
          <w:rFonts w:ascii="Arial" w:cs="Arial" w:eastAsia="Arial" w:hAnsi="Arial"/>
          <w:sz w:val="22"/>
          <w:szCs w:val="22"/>
          <w:color w:val="auto"/>
        </w:rPr>
        <w:t>does not exceed 5% of the Total Asset Value at such time and (ii) the Aggregate Unimproved Land Holdings Investment Amount, when taken together with the Aggregate Real Estate Loan Investment Amount at such time, the Aggregate Construction Costs Investment Amount at such time, the Aggregate Unconsolidated Affiliate Investment Amount at such time and the Aggregate Non-Note Party Investment Amount at such time, does not exceed 25% of the Total Asset Value at such time;</w:t>
      </w:r>
    </w:p>
    <w:p>
      <w:pPr>
        <w:spacing w:after="0" w:line="216" w:lineRule="exact"/>
        <w:rPr>
          <w:sz w:val="20"/>
          <w:szCs w:val="20"/>
          <w:color w:val="auto"/>
        </w:rPr>
      </w:pPr>
    </w:p>
    <w:p>
      <w:pPr>
        <w:jc w:val="both"/>
        <w:ind w:left="620" w:firstLine="1617"/>
        <w:spacing w:after="0" w:line="336" w:lineRule="auto"/>
        <w:tabs>
          <w:tab w:leader="none" w:pos="2817" w:val="left"/>
        </w:tabs>
        <w:numPr>
          <w:ilvl w:val="1"/>
          <w:numId w:val="53"/>
        </w:numPr>
        <w:rPr>
          <w:rFonts w:ascii="Arial" w:cs="Arial" w:eastAsia="Arial" w:hAnsi="Arial"/>
          <w:sz w:val="19"/>
          <w:szCs w:val="19"/>
          <w:color w:val="auto"/>
        </w:rPr>
      </w:pPr>
      <w:r>
        <w:rPr>
          <w:rFonts w:ascii="Arial" w:cs="Arial" w:eastAsia="Arial" w:hAnsi="Arial"/>
          <w:sz w:val="19"/>
          <w:szCs w:val="19"/>
          <w:color w:val="auto"/>
        </w:rPr>
        <w:t>Investments (whether originated or acquired by the REIT or a Subsidiary thereof) consisting of commercial mortgage loans and commercial real estate-related mezzanine loans so long as, after giving effect to any such Investment, (i) the Aggregate Real Estate Loan Investment Amount does not exceed 10% of the Total Asset Value at such time and (ii) the Aggregate Real Estate Loan Investment Amount, when taken together with the Aggregate Construction Costs Investment Amount at such time, the Aggregate Unimproved Land Holdings Investment Amount at such time, the Aggregate Unconsolidated Affiliate Investment Amount at such time and the Aggregate Non-Note Party Investment Amount at such time, does not exceed 25% of the Total Asset Value at such time;</w:t>
      </w:r>
    </w:p>
    <w:p>
      <w:pPr>
        <w:spacing w:after="0" w:line="181" w:lineRule="exact"/>
        <w:rPr>
          <w:rFonts w:ascii="Arial" w:cs="Arial" w:eastAsia="Arial" w:hAnsi="Arial"/>
          <w:sz w:val="19"/>
          <w:szCs w:val="19"/>
          <w:color w:val="auto"/>
        </w:rPr>
      </w:pPr>
    </w:p>
    <w:p>
      <w:pPr>
        <w:jc w:val="both"/>
        <w:ind w:left="620" w:firstLine="1617"/>
        <w:spacing w:after="0" w:line="341" w:lineRule="auto"/>
        <w:tabs>
          <w:tab w:leader="none" w:pos="2712" w:val="left"/>
        </w:tabs>
        <w:numPr>
          <w:ilvl w:val="1"/>
          <w:numId w:val="53"/>
        </w:numPr>
        <w:rPr>
          <w:rFonts w:ascii="Arial" w:cs="Arial" w:eastAsia="Arial" w:hAnsi="Arial"/>
          <w:sz w:val="19"/>
          <w:szCs w:val="19"/>
          <w:color w:val="auto"/>
        </w:rPr>
      </w:pPr>
      <w:r>
        <w:rPr>
          <w:rFonts w:ascii="Arial" w:cs="Arial" w:eastAsia="Arial" w:hAnsi="Arial"/>
          <w:sz w:val="19"/>
          <w:szCs w:val="19"/>
          <w:color w:val="auto"/>
        </w:rPr>
        <w:t>Investments in respect of costs to construct Portfolio Properties under development so long as, after giving effect to any such Investment, the Aggregate Construction Costs Investment Amount, when taken together with the Aggregate Real Estate Loan Investment Amount at such time, the Aggregate Unimproved Land Holdings Investment Amount at such time, the Aggregate Unconsolidated Affiliate Investment Amount at such time and the Aggregate Non-Note Party Investment Amount at such time, does not exceed 25% of the Total Asset Value at such time;</w:t>
      </w:r>
    </w:p>
    <w:p>
      <w:pPr>
        <w:spacing w:after="0" w:line="176" w:lineRule="exact"/>
        <w:rPr>
          <w:rFonts w:ascii="Arial" w:cs="Arial" w:eastAsia="Arial" w:hAnsi="Arial"/>
          <w:sz w:val="19"/>
          <w:szCs w:val="19"/>
          <w:color w:val="auto"/>
        </w:rPr>
      </w:pPr>
    </w:p>
    <w:p>
      <w:pPr>
        <w:jc w:val="both"/>
        <w:ind w:left="620" w:firstLine="1617"/>
        <w:spacing w:after="0" w:line="295" w:lineRule="auto"/>
        <w:tabs>
          <w:tab w:leader="none" w:pos="2981" w:val="left"/>
        </w:tabs>
        <w:numPr>
          <w:ilvl w:val="1"/>
          <w:numId w:val="53"/>
        </w:numPr>
        <w:rPr>
          <w:rFonts w:ascii="Arial" w:cs="Arial" w:eastAsia="Arial" w:hAnsi="Arial"/>
          <w:sz w:val="21"/>
          <w:szCs w:val="21"/>
          <w:color w:val="auto"/>
        </w:rPr>
      </w:pPr>
      <w:r>
        <w:rPr>
          <w:rFonts w:ascii="Arial" w:cs="Arial" w:eastAsia="Arial" w:hAnsi="Arial"/>
          <w:sz w:val="21"/>
          <w:szCs w:val="21"/>
          <w:color w:val="auto"/>
        </w:rPr>
        <w:t>Investments in income producing Portfolio Properties not constituting (i) Investments in unimproved land holdings, (ii) commercial mortgage loans and commercial real estate-related mezzanine loans or</w:t>
      </w:r>
    </w:p>
    <w:p>
      <w:pPr>
        <w:ind w:left="1000" w:hanging="384"/>
        <w:spacing w:after="0"/>
        <w:tabs>
          <w:tab w:leader="none" w:pos="10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Investments in respect of costs to construct Portfolio Properties under development;</w:t>
      </w:r>
    </w:p>
    <w:p>
      <w:pPr>
        <w:spacing w:after="0" w:line="287" w:lineRule="exact"/>
        <w:rPr>
          <w:rFonts w:ascii="Arial" w:cs="Arial" w:eastAsia="Arial" w:hAnsi="Arial"/>
          <w:sz w:val="22"/>
          <w:szCs w:val="22"/>
          <w:color w:val="auto"/>
        </w:rPr>
      </w:pPr>
    </w:p>
    <w:p>
      <w:pPr>
        <w:ind w:left="2700" w:hanging="463"/>
        <w:spacing w:after="0"/>
        <w:tabs>
          <w:tab w:leader="none" w:pos="2700" w:val="left"/>
        </w:tabs>
        <w:numPr>
          <w:ilvl w:val="1"/>
          <w:numId w:val="54"/>
        </w:numPr>
        <w:rPr>
          <w:rFonts w:ascii="Arial" w:cs="Arial" w:eastAsia="Arial" w:hAnsi="Arial"/>
          <w:sz w:val="22"/>
          <w:szCs w:val="22"/>
          <w:color w:val="auto"/>
        </w:rPr>
      </w:pPr>
      <w:r>
        <w:rPr>
          <w:rFonts w:ascii="Arial" w:cs="Arial" w:eastAsia="Arial" w:hAnsi="Arial"/>
          <w:sz w:val="22"/>
          <w:szCs w:val="22"/>
          <w:color w:val="auto"/>
        </w:rPr>
        <w:t>equity Investments owned as of the Closing in Subsidiaries;</w:t>
      </w:r>
    </w:p>
    <w:p>
      <w:pPr>
        <w:spacing w:after="0" w:line="287" w:lineRule="exact"/>
        <w:rPr>
          <w:rFonts w:ascii="Arial" w:cs="Arial" w:eastAsia="Arial" w:hAnsi="Arial"/>
          <w:sz w:val="22"/>
          <w:szCs w:val="22"/>
          <w:color w:val="auto"/>
        </w:rPr>
      </w:pPr>
    </w:p>
    <w:p>
      <w:pPr>
        <w:ind w:left="620" w:right="20" w:firstLine="1617"/>
        <w:spacing w:after="0" w:line="387" w:lineRule="auto"/>
        <w:tabs>
          <w:tab w:leader="none" w:pos="2800" w:val="left"/>
        </w:tabs>
        <w:numPr>
          <w:ilvl w:val="1"/>
          <w:numId w:val="54"/>
        </w:numPr>
        <w:rPr>
          <w:rFonts w:ascii="Arial" w:cs="Arial" w:eastAsia="Arial" w:hAnsi="Arial"/>
          <w:sz w:val="19"/>
          <w:szCs w:val="19"/>
          <w:color w:val="auto"/>
        </w:rPr>
      </w:pPr>
      <w:r>
        <w:rPr>
          <w:rFonts w:ascii="Arial" w:cs="Arial" w:eastAsia="Arial" w:hAnsi="Arial"/>
          <w:sz w:val="19"/>
          <w:szCs w:val="19"/>
          <w:color w:val="auto"/>
        </w:rPr>
        <w:t>Investments consisting of deposits, prepayments and other credits to suppliers and extensions of trade credit made in the ordinary course of business consistent with the past practices of the Company and its Subsidiaries;</w:t>
      </w:r>
    </w:p>
    <w:p>
      <w:pPr>
        <w:spacing w:after="0" w:line="132" w:lineRule="exact"/>
        <w:rPr>
          <w:rFonts w:ascii="Arial" w:cs="Arial" w:eastAsia="Arial" w:hAnsi="Arial"/>
          <w:sz w:val="19"/>
          <w:szCs w:val="19"/>
          <w:color w:val="auto"/>
        </w:rPr>
      </w:pPr>
    </w:p>
    <w:p>
      <w:pPr>
        <w:ind w:left="620" w:firstLine="1617"/>
        <w:spacing w:after="0" w:line="302" w:lineRule="auto"/>
        <w:tabs>
          <w:tab w:leader="none" w:pos="2726" w:val="left"/>
        </w:tabs>
        <w:numPr>
          <w:ilvl w:val="1"/>
          <w:numId w:val="54"/>
        </w:numPr>
        <w:rPr>
          <w:rFonts w:ascii="Arial" w:cs="Arial" w:eastAsia="Arial" w:hAnsi="Arial"/>
          <w:sz w:val="22"/>
          <w:szCs w:val="22"/>
          <w:color w:val="auto"/>
        </w:rPr>
      </w:pPr>
      <w:r>
        <w:rPr>
          <w:rFonts w:ascii="Arial" w:cs="Arial" w:eastAsia="Arial" w:hAnsi="Arial"/>
          <w:sz w:val="22"/>
          <w:szCs w:val="22"/>
          <w:color w:val="auto"/>
        </w:rPr>
        <w:t>loans and advances to employees of the REIT and its Subsidiaries made in the ordinary course of business in an aggregate principal amount not to exceed $1,000,000;</w:t>
      </w:r>
    </w:p>
    <w:p>
      <w:pPr>
        <w:spacing w:after="0" w:line="201"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37</w:t>
      </w:r>
      <w:r>
        <w:rPr>
          <w:rFonts w:ascii="MS PGothic" w:cs="MS PGothic" w:eastAsia="MS PGothic" w:hAnsi="MS PGothic"/>
          <w:sz w:val="22"/>
          <w:szCs w:val="22"/>
          <w:color w:val="auto"/>
        </w:rPr>
        <w:t>‑</w:t>
      </w:r>
    </w:p>
    <w:p>
      <w:pPr>
        <w:sectPr>
          <w:pgSz w:w="11900" w:h="16838" w:orient="portrait"/>
          <w:cols w:equalWidth="0" w:num="1">
            <w:col w:w="11380"/>
          </w:cols>
          <w:pgMar w:left="280" w:top="280" w:right="239" w:bottom="1440" w:gutter="0" w:footer="0" w:header="0"/>
        </w:sectPr>
      </w:pPr>
    </w:p>
    <w:bookmarkStart w:id="50" w:name="page51"/>
    <w:bookmarkEnd w:id="50"/>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700" w:hanging="423"/>
        <w:spacing w:after="0"/>
        <w:tabs>
          <w:tab w:leader="none" w:pos="27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Investments existing on the date of this Agreement and set forth on Schedule 10.6(j);</w:t>
      </w:r>
    </w:p>
    <w:p>
      <w:pPr>
        <w:spacing w:after="0" w:line="287" w:lineRule="exact"/>
        <w:rPr>
          <w:rFonts w:ascii="Arial" w:cs="Arial" w:eastAsia="Arial" w:hAnsi="Arial"/>
          <w:sz w:val="22"/>
          <w:szCs w:val="22"/>
          <w:color w:val="auto"/>
        </w:rPr>
      </w:pPr>
    </w:p>
    <w:p>
      <w:pPr>
        <w:jc w:val="both"/>
        <w:ind w:left="660" w:firstLine="1617"/>
        <w:spacing w:after="0" w:line="288" w:lineRule="auto"/>
        <w:tabs>
          <w:tab w:leader="none" w:pos="2794" w:val="left"/>
        </w:tabs>
        <w:numPr>
          <w:ilvl w:val="0"/>
          <w:numId w:val="55"/>
        </w:numPr>
        <w:rPr>
          <w:rFonts w:ascii="Arial" w:cs="Arial" w:eastAsia="Arial" w:hAnsi="Arial"/>
          <w:sz w:val="22"/>
          <w:szCs w:val="22"/>
          <w:color w:val="auto"/>
        </w:rPr>
      </w:pPr>
      <w:r>
        <w:rPr>
          <w:rFonts w:ascii="Arial" w:cs="Arial" w:eastAsia="Arial" w:hAnsi="Arial"/>
          <w:sz w:val="22"/>
          <w:szCs w:val="22"/>
          <w:color w:val="auto"/>
        </w:rPr>
        <w:t>Guarantees by the Company or a Guarantor of Indebtedness that such Person is permitted to incur as a primary obligor pursuant to Section 10.5, and Investments received in connection with the bankruptcy or reorganization of, or settlement of delinquent accounts and disputes with, customers and suppliers, in each case in the ordinary course of business;</w:t>
      </w:r>
    </w:p>
    <w:p>
      <w:pPr>
        <w:spacing w:after="0" w:line="217" w:lineRule="exact"/>
        <w:rPr>
          <w:rFonts w:ascii="Arial" w:cs="Arial" w:eastAsia="Arial" w:hAnsi="Arial"/>
          <w:sz w:val="22"/>
          <w:szCs w:val="22"/>
          <w:color w:val="auto"/>
        </w:rPr>
      </w:pPr>
    </w:p>
    <w:p>
      <w:pPr>
        <w:ind w:left="660" w:firstLine="1617"/>
        <w:spacing w:after="0" w:line="302" w:lineRule="auto"/>
        <w:tabs>
          <w:tab w:leader="none" w:pos="2925"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Investments consisting of debt securities, equity securities and other non-cash consideration received as consideration for a Disposition permitted by Section 10.8;</w:t>
      </w:r>
    </w:p>
    <w:p>
      <w:pPr>
        <w:spacing w:after="0" w:line="200" w:lineRule="exact"/>
        <w:rPr>
          <w:rFonts w:ascii="Arial" w:cs="Arial" w:eastAsia="Arial" w:hAnsi="Arial"/>
          <w:sz w:val="22"/>
          <w:szCs w:val="22"/>
          <w:color w:val="auto"/>
        </w:rPr>
      </w:pPr>
    </w:p>
    <w:p>
      <w:pPr>
        <w:ind w:left="660" w:firstLine="1617"/>
        <w:spacing w:after="0" w:line="302" w:lineRule="auto"/>
        <w:tabs>
          <w:tab w:leader="none" w:pos="28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acquisition of all of the Equity Interests of a Person that owns an income producing Portfolio Property so long as such Person becomes a Guarantor if required under Section 9.7(a);</w:t>
      </w:r>
    </w:p>
    <w:p>
      <w:pPr>
        <w:spacing w:after="0" w:line="200" w:lineRule="exact"/>
        <w:rPr>
          <w:rFonts w:ascii="Arial" w:cs="Arial" w:eastAsia="Arial" w:hAnsi="Arial"/>
          <w:sz w:val="22"/>
          <w:szCs w:val="22"/>
          <w:color w:val="auto"/>
        </w:rPr>
      </w:pPr>
    </w:p>
    <w:p>
      <w:pPr>
        <w:ind w:left="660" w:firstLine="1617"/>
        <w:spacing w:after="0" w:line="302" w:lineRule="auto"/>
        <w:tabs>
          <w:tab w:leader="none" w:pos="2955" w:val="left"/>
        </w:tabs>
        <w:numPr>
          <w:ilvl w:val="0"/>
          <w:numId w:val="55"/>
        </w:numPr>
        <w:rPr>
          <w:rFonts w:ascii="Arial" w:cs="Arial" w:eastAsia="Arial" w:hAnsi="Arial"/>
          <w:sz w:val="22"/>
          <w:szCs w:val="22"/>
          <w:color w:val="auto"/>
        </w:rPr>
      </w:pPr>
      <w:r>
        <w:rPr>
          <w:rFonts w:ascii="Arial" w:cs="Arial" w:eastAsia="Arial" w:hAnsi="Arial"/>
          <w:sz w:val="22"/>
          <w:szCs w:val="22"/>
          <w:color w:val="auto"/>
        </w:rPr>
        <w:t>other Investments not otherwise permitted hereunder in an aggregate amount not to exceed $10,000,000 at any time outstanding; and</w:t>
      </w:r>
    </w:p>
    <w:p>
      <w:pPr>
        <w:spacing w:after="0" w:line="200" w:lineRule="exact"/>
        <w:rPr>
          <w:rFonts w:ascii="Arial" w:cs="Arial" w:eastAsia="Arial" w:hAnsi="Arial"/>
          <w:sz w:val="22"/>
          <w:szCs w:val="22"/>
          <w:color w:val="auto"/>
        </w:rPr>
      </w:pPr>
    </w:p>
    <w:p>
      <w:pPr>
        <w:jc w:val="both"/>
        <w:ind w:left="660" w:firstLine="1617"/>
        <w:spacing w:after="0" w:line="288" w:lineRule="auto"/>
        <w:tabs>
          <w:tab w:leader="none" w:pos="2785"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Investments in Swap Contracts permitted under Section 10.5 entered into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w:t>
      </w:r>
    </w:p>
    <w:p>
      <w:pPr>
        <w:spacing w:after="0" w:line="211" w:lineRule="exact"/>
        <w:rPr>
          <w:sz w:val="20"/>
          <w:szCs w:val="20"/>
          <w:color w:val="auto"/>
        </w:rPr>
      </w:pPr>
    </w:p>
    <w:p>
      <w:pPr>
        <w:jc w:val="both"/>
        <w:ind w:firstLine="1513"/>
        <w:spacing w:after="0" w:line="290" w:lineRule="auto"/>
        <w:rPr>
          <w:sz w:val="20"/>
          <w:szCs w:val="20"/>
          <w:color w:val="auto"/>
        </w:rPr>
      </w:pPr>
      <w:r>
        <w:rPr>
          <w:rFonts w:ascii="Arial" w:cs="Arial" w:eastAsia="Arial" w:hAnsi="Arial"/>
          <w:sz w:val="22"/>
          <w:szCs w:val="22"/>
          <w:b w:val="1"/>
          <w:bCs w:val="1"/>
          <w:color w:val="auto"/>
        </w:rPr>
        <w:t>Section 10.7. Fundamental Changes</w:t>
      </w:r>
      <w:r>
        <w:rPr>
          <w:rFonts w:ascii="Arial" w:cs="Arial" w:eastAsia="Arial" w:hAnsi="Arial"/>
          <w:sz w:val="22"/>
          <w:szCs w:val="22"/>
          <w:color w:val="auto"/>
        </w:rPr>
        <w:t>. The Company will not and will not permit any Note Party or any</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to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215" w:lineRule="exact"/>
        <w:rPr>
          <w:sz w:val="20"/>
          <w:szCs w:val="20"/>
          <w:color w:val="auto"/>
        </w:rPr>
      </w:pPr>
    </w:p>
    <w:p>
      <w:pPr>
        <w:jc w:val="both"/>
        <w:ind w:left="660" w:firstLine="1617"/>
        <w:spacing w:after="0" w:line="346" w:lineRule="auto"/>
        <w:tabs>
          <w:tab w:leader="none" w:pos="2808"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any Subsidiary of the Company may merge, liquidate or dissolve into, or consolidate with (i)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be the continuing or surviving Person or (ii) any one or more other Subsidiaries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Guarantor is merging with, liquidating into or consolidating with another Subsidiary of the Company that is not a Guarantor, such Guarantor shall be the continuing or surviving Person;</w:t>
      </w:r>
    </w:p>
    <w:p>
      <w:pPr>
        <w:spacing w:after="0" w:line="171" w:lineRule="exact"/>
        <w:rPr>
          <w:rFonts w:ascii="Arial" w:cs="Arial" w:eastAsia="Arial" w:hAnsi="Arial"/>
          <w:sz w:val="19"/>
          <w:szCs w:val="19"/>
          <w:color w:val="auto"/>
        </w:rPr>
      </w:pPr>
    </w:p>
    <w:p>
      <w:pPr>
        <w:ind w:left="660" w:firstLine="1617"/>
        <w:spacing w:after="0" w:line="302" w:lineRule="auto"/>
        <w:tabs>
          <w:tab w:leader="none" w:pos="277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Subsidiary of the Company may Dispose of all or substantially all of its assets (upon voluntary liquidation or otherwise) to the Company or to another Subsidiary</w:t>
      </w:r>
    </w:p>
    <w:p>
      <w:pPr>
        <w:spacing w:after="0" w:line="20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38</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51" w:name="page52"/>
    <w:bookmarkEnd w:id="51"/>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spacing w:after="0" w:line="302" w:lineRule="auto"/>
        <w:rPr>
          <w:sz w:val="20"/>
          <w:szCs w:val="20"/>
          <w:color w:val="auto"/>
        </w:rPr>
      </w:pPr>
      <w:r>
        <w:rPr>
          <w:rFonts w:ascii="Arial" w:cs="Arial" w:eastAsia="Arial" w:hAnsi="Arial"/>
          <w:sz w:val="22"/>
          <w:szCs w:val="22"/>
          <w:color w:val="auto"/>
        </w:rPr>
        <w:t xml:space="preserve">of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transferor in such a transaction is a Guarantor, then the transferee must either be the Company or a Guarantor; and</w:t>
      </w:r>
    </w:p>
    <w:p>
      <w:pPr>
        <w:spacing w:after="0" w:line="201" w:lineRule="exact"/>
        <w:rPr>
          <w:sz w:val="20"/>
          <w:szCs w:val="20"/>
          <w:color w:val="auto"/>
        </w:rPr>
      </w:pPr>
    </w:p>
    <w:p>
      <w:pPr>
        <w:ind w:left="2280"/>
        <w:spacing w:after="0"/>
        <w:tabs>
          <w:tab w:leader="none" w:pos="27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Dispositions permitted by Section 10.8(b) and (c) shall be permitted.</w:t>
      </w:r>
    </w:p>
    <w:p>
      <w:pPr>
        <w:spacing w:after="0" w:line="281" w:lineRule="exact"/>
        <w:rPr>
          <w:sz w:val="20"/>
          <w:szCs w:val="20"/>
          <w:color w:val="auto"/>
        </w:rPr>
      </w:pPr>
    </w:p>
    <w:p>
      <w:pPr>
        <w:jc w:val="both"/>
        <w:ind w:firstLine="1513"/>
        <w:spacing w:after="0" w:line="340" w:lineRule="auto"/>
        <w:rPr>
          <w:sz w:val="20"/>
          <w:szCs w:val="20"/>
          <w:color w:val="auto"/>
        </w:rPr>
      </w:pPr>
      <w:r>
        <w:rPr>
          <w:rFonts w:ascii="Arial" w:cs="Arial" w:eastAsia="Arial" w:hAnsi="Arial"/>
          <w:sz w:val="19"/>
          <w:szCs w:val="19"/>
          <w:b w:val="1"/>
          <w:bCs w:val="1"/>
          <w:color w:val="auto"/>
        </w:rPr>
        <w:t xml:space="preserve">Section 10.8. Dispositions. </w:t>
      </w:r>
      <w:r>
        <w:rPr>
          <w:rFonts w:ascii="Arial" w:cs="Arial" w:eastAsia="Arial" w:hAnsi="Arial"/>
          <w:sz w:val="19"/>
          <w:szCs w:val="19"/>
          <w:color w:val="auto"/>
        </w:rPr>
        <w:t>The Company will not and will not permit any Note Party or any Subsidiary to</w:t>
      </w:r>
      <w:r>
        <w:rPr>
          <w:rFonts w:ascii="Arial" w:cs="Arial" w:eastAsia="Arial" w:hAnsi="Arial"/>
          <w:sz w:val="19"/>
          <w:szCs w:val="19"/>
          <w:b w:val="1"/>
          <w:bCs w:val="1"/>
          <w:color w:val="auto"/>
        </w:rPr>
        <w:t xml:space="preserve"> </w:t>
      </w:r>
      <w:r>
        <w:rPr>
          <w:rFonts w:ascii="Arial" w:cs="Arial" w:eastAsia="Arial" w:hAnsi="Arial"/>
          <w:sz w:val="19"/>
          <w:szCs w:val="19"/>
          <w:color w:val="auto"/>
        </w:rPr>
        <w:t>make any Disposition or enter into any agreement to make any Disposition, or, in the case of any Subsidiary of the Company, issue, sell or otherwise dispose of any of such Subsidiary’s Equity Interests to any Person, if (a) such Disposition is not permitted under Section 10.7 (after giving effect to Section 10.7(c)), (b) such Disposition results in the Company or any Guarantor (other than the REIT) not being a Wholly-Owned Subsidiary of the REIT or (c) after giving effect to such Disposition, the REIT and Company are not in compliance, on a pro forma basis, with the covenants contained in Section 10.9.</w:t>
      </w:r>
    </w:p>
    <w:p>
      <w:pPr>
        <w:spacing w:after="0" w:line="169"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b w:val="1"/>
          <w:bCs w:val="1"/>
          <w:color w:val="auto"/>
        </w:rPr>
        <w:t>Section 10.9.</w:t>
      </w:r>
      <w:r>
        <w:rPr>
          <w:sz w:val="20"/>
          <w:szCs w:val="20"/>
          <w:color w:val="auto"/>
        </w:rPr>
        <w:tab/>
      </w:r>
      <w:r>
        <w:rPr>
          <w:rFonts w:ascii="Arial" w:cs="Arial" w:eastAsia="Arial" w:hAnsi="Arial"/>
          <w:sz w:val="21"/>
          <w:szCs w:val="21"/>
          <w:b w:val="1"/>
          <w:bCs w:val="1"/>
          <w:color w:val="auto"/>
        </w:rPr>
        <w:t>Financial Covenants</w:t>
      </w:r>
      <w:r>
        <w:rPr>
          <w:rFonts w:ascii="Arial" w:cs="Arial" w:eastAsia="Arial" w:hAnsi="Arial"/>
          <w:sz w:val="21"/>
          <w:szCs w:val="21"/>
          <w:color w:val="auto"/>
        </w:rPr>
        <w:t>. The Company will not and will not permit any Note Party or any</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Subsidiary to:</w:t>
      </w:r>
    </w:p>
    <w:p>
      <w:pPr>
        <w:spacing w:after="0" w:line="281" w:lineRule="exact"/>
        <w:rPr>
          <w:sz w:val="20"/>
          <w:szCs w:val="20"/>
          <w:color w:val="auto"/>
        </w:rPr>
      </w:pPr>
    </w:p>
    <w:p>
      <w:pPr>
        <w:ind w:left="1300" w:hanging="468"/>
        <w:spacing w:after="0"/>
        <w:tabs>
          <w:tab w:leader="none" w:pos="1300" w:val="left"/>
        </w:tabs>
        <w:numPr>
          <w:ilvl w:val="1"/>
          <w:numId w:val="57"/>
        </w:numPr>
        <w:rPr>
          <w:rFonts w:ascii="Arial" w:cs="Arial" w:eastAsia="Arial" w:hAnsi="Arial"/>
          <w:sz w:val="19"/>
          <w:szCs w:val="19"/>
          <w:color w:val="auto"/>
        </w:rPr>
      </w:pPr>
      <w:r>
        <w:rPr>
          <w:rFonts w:ascii="Arial" w:cs="Arial" w:eastAsia="Arial" w:hAnsi="Arial"/>
          <w:sz w:val="19"/>
          <w:szCs w:val="19"/>
          <w:b w:val="1"/>
          <w:bCs w:val="1"/>
          <w:color w:val="auto"/>
        </w:rPr>
        <w:t xml:space="preserve">Consolidated Tangible Net Worth. </w:t>
      </w:r>
      <w:r>
        <w:rPr>
          <w:rFonts w:ascii="Arial" w:cs="Arial" w:eastAsia="Arial" w:hAnsi="Arial"/>
          <w:sz w:val="19"/>
          <w:szCs w:val="19"/>
          <w:color w:val="auto"/>
        </w:rPr>
        <w:t>Permit Consolidated Tangible Net Worth at any time to be less than the sum of</w:t>
      </w:r>
    </w:p>
    <w:p>
      <w:pPr>
        <w:spacing w:after="0" w:line="84" w:lineRule="exact"/>
        <w:rPr>
          <w:rFonts w:ascii="Arial" w:cs="Arial" w:eastAsia="Arial" w:hAnsi="Arial"/>
          <w:sz w:val="19"/>
          <w:szCs w:val="19"/>
          <w:color w:val="auto"/>
        </w:rPr>
      </w:pPr>
    </w:p>
    <w:p>
      <w:pPr>
        <w:jc w:val="both"/>
        <w:ind w:firstLine="8"/>
        <w:spacing w:after="0" w:line="292" w:lineRule="auto"/>
        <w:tabs>
          <w:tab w:leader="none" w:pos="2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$721,160,000 and (ii) 75% of the Net Cash Proceeds received by the REIT from issuances and sales of Equity Interests of the REIT occurring after January 9, 2014 (other than any such Net Cash Proceeds received in connection with any dividend reinvestment program).</w:t>
      </w:r>
    </w:p>
    <w:p>
      <w:pPr>
        <w:spacing w:after="0" w:line="205" w:lineRule="exact"/>
        <w:rPr>
          <w:rFonts w:ascii="Arial" w:cs="Arial" w:eastAsia="Arial" w:hAnsi="Arial"/>
          <w:sz w:val="22"/>
          <w:szCs w:val="22"/>
          <w:color w:val="auto"/>
        </w:rPr>
      </w:pPr>
    </w:p>
    <w:p>
      <w:pPr>
        <w:jc w:val="both"/>
        <w:ind w:firstLine="832"/>
        <w:spacing w:after="0" w:line="294" w:lineRule="auto"/>
        <w:tabs>
          <w:tab w:leader="none" w:pos="1427" w:val="left"/>
        </w:tabs>
        <w:numPr>
          <w:ilvl w:val="1"/>
          <w:numId w:val="58"/>
        </w:numPr>
        <w:rPr>
          <w:rFonts w:ascii="Arial" w:cs="Arial" w:eastAsia="Arial" w:hAnsi="Arial"/>
          <w:sz w:val="22"/>
          <w:szCs w:val="22"/>
          <w:color w:val="auto"/>
        </w:rPr>
      </w:pPr>
      <w:r>
        <w:rPr>
          <w:rFonts w:ascii="Arial" w:cs="Arial" w:eastAsia="Arial" w:hAnsi="Arial"/>
          <w:sz w:val="22"/>
          <w:szCs w:val="22"/>
          <w:b w:val="1"/>
          <w:bCs w:val="1"/>
          <w:color w:val="auto"/>
        </w:rPr>
        <w:t xml:space="preserve">Consolidated Secured Leverage Ratio. </w:t>
      </w:r>
      <w:r>
        <w:rPr>
          <w:rFonts w:ascii="Arial" w:cs="Arial" w:eastAsia="Arial" w:hAnsi="Arial"/>
          <w:sz w:val="22"/>
          <w:szCs w:val="22"/>
          <w:color w:val="auto"/>
        </w:rPr>
        <w:t>Permit (i) at any time prior to December 31, 2015, the Consolidated</w:t>
      </w:r>
      <w:r>
        <w:rPr>
          <w:rFonts w:ascii="Arial" w:cs="Arial" w:eastAsia="Arial" w:hAnsi="Arial"/>
          <w:sz w:val="22"/>
          <w:szCs w:val="22"/>
          <w:b w:val="1"/>
          <w:bCs w:val="1"/>
          <w:color w:val="auto"/>
        </w:rPr>
        <w:t xml:space="preserve"> </w:t>
      </w:r>
      <w:r>
        <w:rPr>
          <w:rFonts w:ascii="Arial" w:cs="Arial" w:eastAsia="Arial" w:hAnsi="Arial"/>
          <w:sz w:val="22"/>
          <w:szCs w:val="22"/>
          <w:color w:val="auto"/>
        </w:rPr>
        <w:t>Secured Leverage Ratio at such time to be greater than 45% and (ii) at any time on or after December 31, 2015, the Consolidated Secured Leverage Ratio at such time to be greater than 40%.</w:t>
      </w:r>
    </w:p>
    <w:p>
      <w:pPr>
        <w:spacing w:after="0" w:line="204" w:lineRule="exact"/>
        <w:rPr>
          <w:rFonts w:ascii="Arial" w:cs="Arial" w:eastAsia="Arial" w:hAnsi="Arial"/>
          <w:sz w:val="22"/>
          <w:szCs w:val="22"/>
          <w:color w:val="auto"/>
        </w:rPr>
      </w:pPr>
    </w:p>
    <w:p>
      <w:pPr>
        <w:ind w:left="1320" w:hanging="488"/>
        <w:spacing w:after="0"/>
        <w:tabs>
          <w:tab w:leader="none" w:pos="1320" w:val="left"/>
        </w:tabs>
        <w:numPr>
          <w:ilvl w:val="1"/>
          <w:numId w:val="58"/>
        </w:numPr>
        <w:rPr>
          <w:rFonts w:ascii="Arial" w:cs="Arial" w:eastAsia="Arial" w:hAnsi="Arial"/>
          <w:sz w:val="19"/>
          <w:szCs w:val="19"/>
          <w:color w:val="auto"/>
        </w:rPr>
      </w:pPr>
      <w:r>
        <w:rPr>
          <w:rFonts w:ascii="Arial" w:cs="Arial" w:eastAsia="Arial" w:hAnsi="Arial"/>
          <w:sz w:val="19"/>
          <w:szCs w:val="19"/>
          <w:b w:val="1"/>
          <w:bCs w:val="1"/>
          <w:color w:val="auto"/>
        </w:rPr>
        <w:t xml:space="preserve">Consolidated Total Leverage Ratio. </w:t>
      </w:r>
      <w:r>
        <w:rPr>
          <w:rFonts w:ascii="Arial" w:cs="Arial" w:eastAsia="Arial" w:hAnsi="Arial"/>
          <w:sz w:val="19"/>
          <w:szCs w:val="19"/>
          <w:color w:val="auto"/>
        </w:rPr>
        <w:t>Permit the Consolidated Total Leverage Ratio at such time to be greater than</w:t>
      </w:r>
    </w:p>
    <w:p>
      <w:pPr>
        <w:spacing w:after="0" w:line="8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60%.</w:t>
      </w:r>
    </w:p>
    <w:p>
      <w:pPr>
        <w:spacing w:after="0" w:line="281" w:lineRule="exact"/>
        <w:rPr>
          <w:rFonts w:ascii="Arial" w:cs="Arial" w:eastAsia="Arial" w:hAnsi="Arial"/>
          <w:sz w:val="19"/>
          <w:szCs w:val="19"/>
          <w:color w:val="auto"/>
        </w:rPr>
      </w:pPr>
    </w:p>
    <w:p>
      <w:pPr>
        <w:ind w:firstLine="832"/>
        <w:spacing w:after="0" w:line="308" w:lineRule="auto"/>
        <w:tabs>
          <w:tab w:leader="none" w:pos="1319" w:val="left"/>
        </w:tabs>
        <w:numPr>
          <w:ilvl w:val="1"/>
          <w:numId w:val="58"/>
        </w:numPr>
        <w:rPr>
          <w:rFonts w:ascii="Arial" w:cs="Arial" w:eastAsia="Arial" w:hAnsi="Arial"/>
          <w:sz w:val="22"/>
          <w:szCs w:val="22"/>
          <w:color w:val="auto"/>
        </w:rPr>
      </w:pPr>
      <w:r>
        <w:rPr>
          <w:rFonts w:ascii="Arial" w:cs="Arial" w:eastAsia="Arial" w:hAnsi="Arial"/>
          <w:sz w:val="22"/>
          <w:szCs w:val="22"/>
          <w:b w:val="1"/>
          <w:bCs w:val="1"/>
          <w:color w:val="auto"/>
        </w:rPr>
        <w:t xml:space="preserve">Consolidated Fixed Charge Coverage Ratio. </w:t>
      </w:r>
      <w:r>
        <w:rPr>
          <w:rFonts w:ascii="Arial" w:cs="Arial" w:eastAsia="Arial" w:hAnsi="Arial"/>
          <w:sz w:val="22"/>
          <w:szCs w:val="22"/>
          <w:color w:val="auto"/>
        </w:rPr>
        <w:t>Permit the Consolidated Fixed Charge Coverage Ratio as of the last</w:t>
      </w:r>
      <w:r>
        <w:rPr>
          <w:rFonts w:ascii="Arial" w:cs="Arial" w:eastAsia="Arial" w:hAnsi="Arial"/>
          <w:sz w:val="22"/>
          <w:szCs w:val="22"/>
          <w:b w:val="1"/>
          <w:bCs w:val="1"/>
          <w:color w:val="auto"/>
        </w:rPr>
        <w:t xml:space="preserve"> </w:t>
      </w:r>
      <w:r>
        <w:rPr>
          <w:rFonts w:ascii="Arial" w:cs="Arial" w:eastAsia="Arial" w:hAnsi="Arial"/>
          <w:sz w:val="22"/>
          <w:szCs w:val="22"/>
          <w:color w:val="auto"/>
        </w:rPr>
        <w:t>day of any fiscal quarter of the REIT to be less than 1.50 to 1.00.</w:t>
      </w:r>
    </w:p>
    <w:p>
      <w:pPr>
        <w:spacing w:after="0" w:line="188" w:lineRule="exact"/>
        <w:rPr>
          <w:rFonts w:ascii="Arial" w:cs="Arial" w:eastAsia="Arial" w:hAnsi="Arial"/>
          <w:sz w:val="22"/>
          <w:szCs w:val="22"/>
          <w:color w:val="auto"/>
        </w:rPr>
      </w:pPr>
    </w:p>
    <w:p>
      <w:pPr>
        <w:ind w:firstLine="832"/>
        <w:spacing w:after="0" w:line="308" w:lineRule="auto"/>
        <w:tabs>
          <w:tab w:leader="none" w:pos="1307" w:val="left"/>
        </w:tabs>
        <w:numPr>
          <w:ilvl w:val="1"/>
          <w:numId w:val="58"/>
        </w:numPr>
        <w:rPr>
          <w:rFonts w:ascii="Arial" w:cs="Arial" w:eastAsia="Arial" w:hAnsi="Arial"/>
          <w:sz w:val="22"/>
          <w:szCs w:val="22"/>
          <w:color w:val="auto"/>
        </w:rPr>
      </w:pPr>
      <w:r>
        <w:rPr>
          <w:rFonts w:ascii="Arial" w:cs="Arial" w:eastAsia="Arial" w:hAnsi="Arial"/>
          <w:sz w:val="22"/>
          <w:szCs w:val="22"/>
          <w:b w:val="1"/>
          <w:bCs w:val="1"/>
          <w:color w:val="auto"/>
        </w:rPr>
        <w:t xml:space="preserve">Consolidated Unsecured Interest Coverage Ratio. </w:t>
      </w:r>
      <w:r>
        <w:rPr>
          <w:rFonts w:ascii="Arial" w:cs="Arial" w:eastAsia="Arial" w:hAnsi="Arial"/>
          <w:sz w:val="22"/>
          <w:szCs w:val="22"/>
          <w:color w:val="auto"/>
        </w:rPr>
        <w:t>Permit the Consolidated Unsecured Interest Coverage Ratio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last day of any fiscal quarter of the REIT to be less than 1.75 to 1.00.</w:t>
      </w:r>
    </w:p>
    <w:p>
      <w:pPr>
        <w:spacing w:after="0" w:line="188" w:lineRule="exact"/>
        <w:rPr>
          <w:rFonts w:ascii="Arial" w:cs="Arial" w:eastAsia="Arial" w:hAnsi="Arial"/>
          <w:sz w:val="22"/>
          <w:szCs w:val="22"/>
          <w:color w:val="auto"/>
        </w:rPr>
      </w:pPr>
    </w:p>
    <w:p>
      <w:pPr>
        <w:ind w:firstLine="832"/>
        <w:spacing w:after="0" w:line="308" w:lineRule="auto"/>
        <w:tabs>
          <w:tab w:leader="none" w:pos="1323" w:val="left"/>
        </w:tabs>
        <w:numPr>
          <w:ilvl w:val="1"/>
          <w:numId w:val="58"/>
        </w:numPr>
        <w:rPr>
          <w:rFonts w:ascii="Arial" w:cs="Arial" w:eastAsia="Arial" w:hAnsi="Arial"/>
          <w:sz w:val="22"/>
          <w:szCs w:val="22"/>
          <w:color w:val="auto"/>
        </w:rPr>
      </w:pPr>
      <w:r>
        <w:rPr>
          <w:rFonts w:ascii="Arial" w:cs="Arial" w:eastAsia="Arial" w:hAnsi="Arial"/>
          <w:sz w:val="22"/>
          <w:szCs w:val="22"/>
          <w:b w:val="1"/>
          <w:bCs w:val="1"/>
          <w:color w:val="auto"/>
        </w:rPr>
        <w:t xml:space="preserve">Consolidated Unsecured Leverage Ratio. </w:t>
      </w:r>
      <w:r>
        <w:rPr>
          <w:rFonts w:ascii="Arial" w:cs="Arial" w:eastAsia="Arial" w:hAnsi="Arial"/>
          <w:sz w:val="22"/>
          <w:szCs w:val="22"/>
          <w:color w:val="auto"/>
        </w:rPr>
        <w:t>Permit the Consolidated Unsecured Leverage Ratio at such time to be</w:t>
      </w:r>
      <w:r>
        <w:rPr>
          <w:rFonts w:ascii="Arial" w:cs="Arial" w:eastAsia="Arial" w:hAnsi="Arial"/>
          <w:sz w:val="22"/>
          <w:szCs w:val="22"/>
          <w:b w:val="1"/>
          <w:bCs w:val="1"/>
          <w:color w:val="auto"/>
        </w:rPr>
        <w:t xml:space="preserve"> </w:t>
      </w:r>
      <w:r>
        <w:rPr>
          <w:rFonts w:ascii="Arial" w:cs="Arial" w:eastAsia="Arial" w:hAnsi="Arial"/>
          <w:sz w:val="22"/>
          <w:szCs w:val="22"/>
          <w:color w:val="auto"/>
        </w:rPr>
        <w:t>greater than 60%.</w:t>
      </w:r>
    </w:p>
    <w:p>
      <w:pPr>
        <w:spacing w:after="0" w:line="194"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39</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52" w:name="page53"/>
    <w:bookmarkEnd w:id="52"/>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Although it will not be a Default or an Event of Default if the Company fails to comply with any provision of Section 10 on or after the date of this Agreement and prior to each Closing with respect to the Notes to be issued at such Closing, if such a failure occurs, then any of the Purchasers may elect not to Purchase such Notes on the date of the respective Closing that is specified in Section 3.</w:t>
      </w:r>
    </w:p>
    <w:p>
      <w:pPr>
        <w:spacing w:after="0" w:line="252"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21"/>
          <w:szCs w:val="21"/>
          <w:b w:val="1"/>
          <w:bCs w:val="1"/>
          <w:color w:val="auto"/>
        </w:rPr>
        <w:t>EVENTS OF DEFAULT</w:t>
      </w:r>
      <w:r>
        <w:rPr>
          <w:rFonts w:ascii="Arial" w:cs="Arial" w:eastAsia="Arial" w:hAnsi="Arial"/>
          <w:sz w:val="21"/>
          <w:szCs w:val="21"/>
          <w:color w:val="auto"/>
        </w:rPr>
        <w: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An </w:t>
      </w:r>
      <w:r>
        <w:rPr>
          <w:rFonts w:ascii="Arial" w:cs="Arial" w:eastAsia="Arial" w:hAnsi="Arial"/>
          <w:sz w:val="22"/>
          <w:szCs w:val="22"/>
          <w:b w:val="1"/>
          <w:bCs w:val="1"/>
          <w:color w:val="auto"/>
        </w:rPr>
        <w:t>“Event of Default”</w:t>
      </w:r>
      <w:r>
        <w:rPr>
          <w:rFonts w:ascii="Arial" w:cs="Arial" w:eastAsia="Arial" w:hAnsi="Arial"/>
          <w:sz w:val="22"/>
          <w:szCs w:val="22"/>
          <w:color w:val="auto"/>
        </w:rPr>
        <w:t xml:space="preserve"> shall exist if any of the following conditions or events shall occur and be continuing:</w:t>
      </w:r>
    </w:p>
    <w:p>
      <w:pPr>
        <w:spacing w:after="0" w:line="293" w:lineRule="exact"/>
        <w:rPr>
          <w:sz w:val="20"/>
          <w:szCs w:val="20"/>
          <w:color w:val="auto"/>
        </w:rPr>
      </w:pPr>
    </w:p>
    <w:p>
      <w:pPr>
        <w:jc w:val="both"/>
        <w:ind w:left="660" w:firstLine="1617"/>
        <w:spacing w:after="0" w:line="289" w:lineRule="exact"/>
        <w:tabs>
          <w:tab w:leader="none" w:pos="2753"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Company defaults in the payment of any principal or Make</w:t>
      </w:r>
      <w:r>
        <w:rPr>
          <w:rFonts w:ascii="MS PGothic" w:cs="MS PGothic" w:eastAsia="MS PGothic" w:hAnsi="MS PGothic"/>
          <w:sz w:val="22"/>
          <w:szCs w:val="22"/>
          <w:color w:val="auto"/>
        </w:rPr>
        <w:t>‑</w:t>
      </w:r>
      <w:r>
        <w:rPr>
          <w:rFonts w:ascii="Arial" w:cs="Arial" w:eastAsia="Arial" w:hAnsi="Arial"/>
          <w:sz w:val="22"/>
          <w:szCs w:val="22"/>
          <w:color w:val="auto"/>
        </w:rPr>
        <w:t>Whole Amount, if any, on any Note when the same becomes due and payable, whether at maturity or at a date fixed for prepayment or by declaration or otherwise; or</w:t>
      </w:r>
    </w:p>
    <w:p>
      <w:pPr>
        <w:spacing w:after="0" w:line="268" w:lineRule="exact"/>
        <w:rPr>
          <w:rFonts w:ascii="Arial" w:cs="Arial" w:eastAsia="Arial" w:hAnsi="Arial"/>
          <w:sz w:val="22"/>
          <w:szCs w:val="22"/>
          <w:color w:val="auto"/>
        </w:rPr>
      </w:pPr>
    </w:p>
    <w:p>
      <w:pPr>
        <w:ind w:left="660" w:firstLine="1617"/>
        <w:spacing w:after="0" w:line="302" w:lineRule="auto"/>
        <w:tabs>
          <w:tab w:leader="none" w:pos="2767"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Company defaults in the payment of any interest on any Note for more than five Business Days after the same becomes due and payable; or</w:t>
      </w:r>
    </w:p>
    <w:p>
      <w:pPr>
        <w:spacing w:after="0" w:line="200" w:lineRule="exact"/>
        <w:rPr>
          <w:rFonts w:ascii="Arial" w:cs="Arial" w:eastAsia="Arial" w:hAnsi="Arial"/>
          <w:sz w:val="22"/>
          <w:szCs w:val="22"/>
          <w:color w:val="auto"/>
        </w:rPr>
      </w:pPr>
    </w:p>
    <w:p>
      <w:pPr>
        <w:ind w:left="660" w:firstLine="1617"/>
        <w:spacing w:after="0" w:line="302" w:lineRule="auto"/>
        <w:tabs>
          <w:tab w:leader="none" w:pos="3023"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Company defaults in the performance of or compliance with any term contained in Section 7.1(d) or Sections 10.4 through 10.9; or</w:t>
      </w:r>
    </w:p>
    <w:p>
      <w:pPr>
        <w:spacing w:after="0" w:line="200" w:lineRule="exact"/>
        <w:rPr>
          <w:rFonts w:ascii="Arial" w:cs="Arial" w:eastAsia="Arial" w:hAnsi="Arial"/>
          <w:sz w:val="22"/>
          <w:szCs w:val="22"/>
          <w:color w:val="auto"/>
        </w:rPr>
      </w:pPr>
    </w:p>
    <w:p>
      <w:pPr>
        <w:jc w:val="both"/>
        <w:ind w:left="660" w:firstLine="1617"/>
        <w:spacing w:after="0" w:line="326" w:lineRule="auto"/>
        <w:tabs>
          <w:tab w:leader="none" w:pos="2923"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Company or any Guarantor defaults in the performance of or compliance with any term contained herein (other than those referred to in Sections 11(a), (b) and (c)) or in any Affiliate Guaranty and such default is not remedied within 30 days after the earlier of (i) a Responsible Officer obtaining actual knowledge of such default and</w:t>
      </w:r>
    </w:p>
    <w:p>
      <w:pPr>
        <w:spacing w:after="0" w:line="1" w:lineRule="exact"/>
        <w:rPr>
          <w:rFonts w:ascii="Arial" w:cs="Arial" w:eastAsia="Arial" w:hAnsi="Arial"/>
          <w:sz w:val="19"/>
          <w:szCs w:val="19"/>
          <w:color w:val="auto"/>
        </w:rPr>
      </w:pPr>
    </w:p>
    <w:p>
      <w:pPr>
        <w:ind w:left="660" w:hanging="4"/>
        <w:spacing w:after="0" w:line="302" w:lineRule="auto"/>
        <w:tabs>
          <w:tab w:leader="none" w:pos="9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Company receiving written notice of such default from any holder of a Note (any such written notice to be identified as a “notice of default” and to refer specifically to this Section 11(d)); or</w:t>
      </w:r>
    </w:p>
    <w:p>
      <w:pPr>
        <w:spacing w:after="0" w:line="200" w:lineRule="exact"/>
        <w:rPr>
          <w:rFonts w:ascii="Arial" w:cs="Arial" w:eastAsia="Arial" w:hAnsi="Arial"/>
          <w:sz w:val="22"/>
          <w:szCs w:val="22"/>
          <w:color w:val="auto"/>
        </w:rPr>
      </w:pPr>
    </w:p>
    <w:p>
      <w:pPr>
        <w:jc w:val="both"/>
        <w:ind w:left="660" w:firstLine="1617"/>
        <w:spacing w:after="0" w:line="285" w:lineRule="auto"/>
        <w:tabs>
          <w:tab w:leader="none" w:pos="2744" w:val="left"/>
        </w:tabs>
        <w:numPr>
          <w:ilvl w:val="1"/>
          <w:numId w:val="60"/>
        </w:numPr>
        <w:rPr>
          <w:rFonts w:ascii="Arial" w:cs="Arial" w:eastAsia="Arial" w:hAnsi="Arial"/>
          <w:sz w:val="22"/>
          <w:szCs w:val="22"/>
          <w:color w:val="auto"/>
        </w:rPr>
      </w:pPr>
      <w:r>
        <w:rPr>
          <w:rFonts w:ascii="Arial" w:cs="Arial" w:eastAsia="Arial" w:hAnsi="Arial"/>
          <w:sz w:val="22"/>
          <w:szCs w:val="22"/>
          <w:color w:val="auto"/>
        </w:rPr>
        <w:t>(i) 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 (ii) any representation or warranty made in writing by or on behalf of any Guarantor or by any officer of such Guarantor in any Affiliate Guaranty or any writing furnished in connection with such Affiliate Guaranty proves to have been false or incorrect in any material respect on the date as of which made; or</w:t>
      </w:r>
    </w:p>
    <w:p>
      <w:pPr>
        <w:spacing w:after="0" w:line="223" w:lineRule="exact"/>
        <w:rPr>
          <w:rFonts w:ascii="Arial" w:cs="Arial" w:eastAsia="Arial" w:hAnsi="Arial"/>
          <w:sz w:val="22"/>
          <w:szCs w:val="22"/>
          <w:color w:val="auto"/>
        </w:rPr>
      </w:pPr>
    </w:p>
    <w:p>
      <w:pPr>
        <w:jc w:val="both"/>
        <w:ind w:left="660" w:firstLine="1617"/>
        <w:spacing w:after="0" w:line="289" w:lineRule="exact"/>
        <w:tabs>
          <w:tab w:leader="none" w:pos="2729" w:val="left"/>
        </w:tabs>
        <w:numPr>
          <w:ilvl w:val="1"/>
          <w:numId w:val="60"/>
        </w:numPr>
        <w:rPr>
          <w:rFonts w:ascii="Arial" w:cs="Arial" w:eastAsia="Arial" w:hAnsi="Arial"/>
          <w:sz w:val="22"/>
          <w:szCs w:val="22"/>
          <w:color w:val="auto"/>
        </w:rPr>
      </w:pPr>
      <w:r>
        <w:rPr>
          <w:rFonts w:ascii="Arial" w:cs="Arial" w:eastAsia="Arial" w:hAnsi="Arial"/>
          <w:sz w:val="22"/>
          <w:szCs w:val="22"/>
          <w:color w:val="auto"/>
        </w:rPr>
        <w:t>(i) any Note Party or any Subsidiary is in default (as principal or as guarantor or other surety) in the payment of any principal of or premium or make</w:t>
      </w:r>
      <w:r>
        <w:rPr>
          <w:rFonts w:ascii="MS PGothic" w:cs="MS PGothic" w:eastAsia="MS PGothic" w:hAnsi="MS PGothic"/>
          <w:sz w:val="22"/>
          <w:szCs w:val="22"/>
          <w:color w:val="auto"/>
        </w:rPr>
        <w:t>‑</w:t>
      </w:r>
      <w:r>
        <w:rPr>
          <w:rFonts w:ascii="Arial" w:cs="Arial" w:eastAsia="Arial" w:hAnsi="Arial"/>
          <w:sz w:val="22"/>
          <w:szCs w:val="22"/>
          <w:color w:val="auto"/>
        </w:rPr>
        <w:t>whole amount or interest on (x) any Recourse Indebtedness (other than Indebtedness hereunder) having an</w:t>
      </w:r>
    </w:p>
    <w:p>
      <w:pPr>
        <w:spacing w:after="0" w:line="268"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40</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53" w:name="page54"/>
    <w:bookmarkEnd w:id="53"/>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620"/>
        <w:spacing w:after="0" w:line="290" w:lineRule="exact"/>
        <w:rPr>
          <w:sz w:val="20"/>
          <w:szCs w:val="20"/>
          <w:color w:val="auto"/>
        </w:rPr>
      </w:pPr>
      <w:r>
        <w:rPr>
          <w:rFonts w:ascii="Arial" w:cs="Arial" w:eastAsia="Arial" w:hAnsi="Arial"/>
          <w:sz w:val="19"/>
          <w:szCs w:val="19"/>
          <w:color w:val="auto"/>
        </w:rPr>
        <w:t>aggregate principal amount of more than $25,000,000, or (y) any Non</w:t>
      </w:r>
      <w:r>
        <w:rPr>
          <w:rFonts w:ascii="MS PGothic" w:cs="MS PGothic" w:eastAsia="MS PGothic" w:hAnsi="MS PGothic"/>
          <w:sz w:val="19"/>
          <w:szCs w:val="19"/>
          <w:color w:val="auto"/>
        </w:rPr>
        <w:t>‑</w:t>
      </w:r>
      <w:r>
        <w:rPr>
          <w:rFonts w:ascii="Arial" w:cs="Arial" w:eastAsia="Arial" w:hAnsi="Arial"/>
          <w:sz w:val="19"/>
          <w:szCs w:val="19"/>
          <w:color w:val="auto"/>
        </w:rPr>
        <w:t>Recourse Indebtedness having an aggregate principal amount of more than the $50,000,000, in each case of (x) and (y) beyond any period of grace provided with respect thereto, or (ii) any Note Party or any Subsidiary is in default in the performance of or compliance with any term of any evidence of</w:t>
      </w:r>
    </w:p>
    <w:p>
      <w:pPr>
        <w:spacing w:after="0" w:line="23" w:lineRule="exact"/>
        <w:rPr>
          <w:sz w:val="20"/>
          <w:szCs w:val="20"/>
          <w:color w:val="auto"/>
        </w:rPr>
      </w:pPr>
    </w:p>
    <w:p>
      <w:pPr>
        <w:jc w:val="both"/>
        <w:ind w:left="620" w:hanging="4"/>
        <w:spacing w:after="0" w:line="326" w:lineRule="auto"/>
        <w:tabs>
          <w:tab w:leader="none" w:pos="957"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Recourse Indebtedness (other than Indebtedness hereunder) having an aggregate principal amount of more than $25,000,000, or (y) any Nonrecourse Indebtedness having an aggregate principal amount of more than the $50,000,000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w:t>
      </w:r>
    </w:p>
    <w:p>
      <w:pPr>
        <w:spacing w:after="0" w:line="1" w:lineRule="exact"/>
        <w:rPr>
          <w:rFonts w:ascii="Arial" w:cs="Arial" w:eastAsia="Arial" w:hAnsi="Arial"/>
          <w:sz w:val="19"/>
          <w:szCs w:val="19"/>
          <w:color w:val="auto"/>
        </w:rPr>
      </w:pPr>
    </w:p>
    <w:p>
      <w:pPr>
        <w:jc w:val="both"/>
        <w:ind w:left="620" w:hanging="4"/>
        <w:spacing w:after="0" w:line="326" w:lineRule="auto"/>
        <w:tabs>
          <w:tab w:leader="none" w:pos="999" w:val="left"/>
        </w:tabs>
        <w:numPr>
          <w:ilvl w:val="0"/>
          <w:numId w:val="62"/>
        </w:numPr>
        <w:rPr>
          <w:rFonts w:ascii="Arial" w:cs="Arial" w:eastAsia="Arial" w:hAnsi="Arial"/>
          <w:sz w:val="19"/>
          <w:szCs w:val="19"/>
          <w:color w:val="auto"/>
        </w:rPr>
      </w:pPr>
      <w:r>
        <w:rPr>
          <w:rFonts w:ascii="Arial" w:cs="Arial" w:eastAsia="Arial" w:hAnsi="Arial"/>
          <w:sz w:val="19"/>
          <w:szCs w:val="19"/>
          <w:color w:val="auto"/>
        </w:rPr>
        <w:t>as a consequence of the occurrence or continuation of any event or condition (other than the passage of time or the right of the holder of Indebtedness to convert such Indebtedness into equity interests), (x) any Note Party or any Subsidiary has become obligated to purchase or repay Indebtedness before its regular maturity or before its regularly scheduled dates of</w:t>
      </w:r>
    </w:p>
    <w:p>
      <w:pPr>
        <w:spacing w:after="0" w:line="1" w:lineRule="exact"/>
        <w:rPr>
          <w:rFonts w:ascii="Arial" w:cs="Arial" w:eastAsia="Arial" w:hAnsi="Arial"/>
          <w:sz w:val="19"/>
          <w:szCs w:val="19"/>
          <w:color w:val="auto"/>
        </w:rPr>
      </w:pPr>
    </w:p>
    <w:p>
      <w:pPr>
        <w:jc w:val="both"/>
        <w:ind w:left="620" w:hanging="4"/>
        <w:spacing w:after="0" w:line="326" w:lineRule="auto"/>
        <w:tabs>
          <w:tab w:leader="none" w:pos="945"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Recourse Indebtedness (other than Indebtedness hereunder) having an aggregate principal amount of more than $25,000,000, or (b) any Nonrecourse Indebtedness having an aggregate principal amount of more than the $50,000,000, or</w:t>
      </w:r>
    </w:p>
    <w:p>
      <w:pPr>
        <w:ind w:left="620" w:right="20" w:hanging="4"/>
        <w:spacing w:after="0" w:line="302" w:lineRule="auto"/>
        <w:tabs>
          <w:tab w:leader="none" w:pos="979" w:val="left"/>
        </w:tabs>
        <w:numPr>
          <w:ilvl w:val="0"/>
          <w:numId w:val="64"/>
        </w:numPr>
        <w:rPr>
          <w:rFonts w:ascii="Arial" w:cs="Arial" w:eastAsia="Arial" w:hAnsi="Arial"/>
          <w:sz w:val="22"/>
          <w:szCs w:val="22"/>
          <w:color w:val="auto"/>
        </w:rPr>
      </w:pPr>
      <w:r>
        <w:rPr>
          <w:rFonts w:ascii="Arial" w:cs="Arial" w:eastAsia="Arial" w:hAnsi="Arial"/>
          <w:sz w:val="22"/>
          <w:szCs w:val="22"/>
          <w:color w:val="auto"/>
        </w:rPr>
        <w:t>one or more Persons have the right to require any Note Party or any Subsidiary so to purchase or repay such Indebtedness; or</w:t>
      </w:r>
    </w:p>
    <w:p>
      <w:pPr>
        <w:spacing w:after="0" w:line="200" w:lineRule="exact"/>
        <w:rPr>
          <w:rFonts w:ascii="Arial" w:cs="Arial" w:eastAsia="Arial" w:hAnsi="Arial"/>
          <w:sz w:val="22"/>
          <w:szCs w:val="22"/>
          <w:color w:val="auto"/>
        </w:rPr>
      </w:pPr>
    </w:p>
    <w:p>
      <w:pPr>
        <w:jc w:val="both"/>
        <w:ind w:left="620" w:firstLine="1617"/>
        <w:spacing w:after="0" w:line="336" w:lineRule="auto"/>
        <w:tabs>
          <w:tab w:leader="none" w:pos="2795" w:val="left"/>
        </w:tabs>
        <w:numPr>
          <w:ilvl w:val="1"/>
          <w:numId w:val="64"/>
        </w:numPr>
        <w:rPr>
          <w:rFonts w:ascii="Arial" w:cs="Arial" w:eastAsia="Arial" w:hAnsi="Arial"/>
          <w:sz w:val="19"/>
          <w:szCs w:val="19"/>
          <w:color w:val="auto"/>
        </w:rPr>
      </w:pPr>
      <w:r>
        <w:rPr>
          <w:rFonts w:ascii="Arial" w:cs="Arial" w:eastAsia="Arial" w:hAnsi="Arial"/>
          <w:sz w:val="19"/>
          <w:szCs w:val="19"/>
          <w:color w:val="auto"/>
        </w:rPr>
        <w:t>any Note Party or any Significant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81" w:lineRule="exact"/>
        <w:rPr>
          <w:rFonts w:ascii="Arial" w:cs="Arial" w:eastAsia="Arial" w:hAnsi="Arial"/>
          <w:sz w:val="19"/>
          <w:szCs w:val="19"/>
          <w:color w:val="auto"/>
        </w:rPr>
      </w:pPr>
    </w:p>
    <w:p>
      <w:pPr>
        <w:jc w:val="both"/>
        <w:ind w:left="620" w:firstLine="1617"/>
        <w:spacing w:after="0" w:line="285" w:lineRule="auto"/>
        <w:tabs>
          <w:tab w:leader="none" w:pos="2851" w:val="left"/>
        </w:tabs>
        <w:numPr>
          <w:ilvl w:val="1"/>
          <w:numId w:val="64"/>
        </w:numPr>
        <w:rPr>
          <w:rFonts w:ascii="Arial" w:cs="Arial" w:eastAsia="Arial" w:hAnsi="Arial"/>
          <w:sz w:val="22"/>
          <w:szCs w:val="22"/>
          <w:color w:val="auto"/>
        </w:rPr>
      </w:pPr>
      <w:r>
        <w:rPr>
          <w:rFonts w:ascii="Arial" w:cs="Arial" w:eastAsia="Arial" w:hAnsi="Arial"/>
          <w:sz w:val="22"/>
          <w:szCs w:val="22"/>
          <w:color w:val="auto"/>
        </w:rPr>
        <w:t>a court or other Governmental Authority of competent jurisdiction enters an order appointing, without consent by a Note Party or any of its Significant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a Note Party or any of its Subsidiaries, or any</w:t>
      </w:r>
    </w:p>
    <w:p>
      <w:pPr>
        <w:spacing w:after="0" w:line="223"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41</w:t>
      </w:r>
      <w:r>
        <w:rPr>
          <w:rFonts w:ascii="MS PGothic" w:cs="MS PGothic" w:eastAsia="MS PGothic" w:hAnsi="MS PGothic"/>
          <w:sz w:val="22"/>
          <w:szCs w:val="22"/>
          <w:color w:val="auto"/>
        </w:rPr>
        <w:t>‑</w:t>
      </w:r>
    </w:p>
    <w:p>
      <w:pPr>
        <w:sectPr>
          <w:pgSz w:w="11900" w:h="16838" w:orient="portrait"/>
          <w:cols w:equalWidth="0" w:num="1">
            <w:col w:w="11380"/>
          </w:cols>
          <w:pgMar w:left="280" w:top="280" w:right="239" w:bottom="1440" w:gutter="0" w:footer="0" w:header="0"/>
        </w:sectPr>
      </w:pPr>
    </w:p>
    <w:bookmarkStart w:id="54" w:name="page55"/>
    <w:bookmarkEnd w:id="54"/>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spacing w:after="0" w:line="302" w:lineRule="auto"/>
        <w:rPr>
          <w:sz w:val="20"/>
          <w:szCs w:val="20"/>
          <w:color w:val="auto"/>
        </w:rPr>
      </w:pPr>
      <w:r>
        <w:rPr>
          <w:rFonts w:ascii="Arial" w:cs="Arial" w:eastAsia="Arial" w:hAnsi="Arial"/>
          <w:sz w:val="22"/>
          <w:szCs w:val="22"/>
          <w:color w:val="auto"/>
        </w:rPr>
        <w:t>such petition shall be filed against a Note Party or any of its Subsidiaries and such petition shall not be dismissed within 60 days; or</w:t>
      </w:r>
    </w:p>
    <w:p>
      <w:pPr>
        <w:spacing w:after="0" w:line="201" w:lineRule="exact"/>
        <w:rPr>
          <w:sz w:val="20"/>
          <w:szCs w:val="20"/>
          <w:color w:val="auto"/>
        </w:rPr>
      </w:pPr>
    </w:p>
    <w:p>
      <w:pPr>
        <w:jc w:val="both"/>
        <w:ind w:left="620" w:firstLine="1617"/>
        <w:spacing w:after="0" w:line="338" w:lineRule="auto"/>
        <w:tabs>
          <w:tab w:leader="none" w:pos="2871" w:val="left"/>
        </w:tabs>
        <w:numPr>
          <w:ilvl w:val="0"/>
          <w:numId w:val="65"/>
        </w:numPr>
        <w:rPr>
          <w:rFonts w:ascii="Arial" w:cs="Arial" w:eastAsia="Arial" w:hAnsi="Arial"/>
          <w:sz w:val="19"/>
          <w:szCs w:val="19"/>
          <w:color w:val="auto"/>
        </w:rPr>
      </w:pPr>
      <w:r>
        <w:rPr>
          <w:rFonts w:ascii="Arial" w:cs="Arial" w:eastAsia="Arial" w:hAnsi="Arial"/>
          <w:sz w:val="19"/>
          <w:szCs w:val="19"/>
          <w:color w:val="auto"/>
        </w:rPr>
        <w:t>one or more final judgments or orders for the payment of money aggregating in excess of $35,000,000 (to the extent not covered by independent third-party insurance as to which the insurer is rated at least “A” by A.M. Best Company, has been notified of the claim and does not dispute coverage), including, without limitation, any such final order enforcing a binding arbitration decision, are rendered against one or more of the Note Parties and their Significant Subsidiaries and which judgments are not, within 60 days after entry thereof, bonded, discharged or stayed pending appeal, or are not discharged within 60 days after the expiration of such stay;</w:t>
      </w:r>
    </w:p>
    <w:p>
      <w:pPr>
        <w:spacing w:after="0" w:line="179" w:lineRule="exact"/>
        <w:rPr>
          <w:rFonts w:ascii="Arial" w:cs="Arial" w:eastAsia="Arial" w:hAnsi="Arial"/>
          <w:sz w:val="19"/>
          <w:szCs w:val="19"/>
          <w:color w:val="auto"/>
        </w:rPr>
      </w:pPr>
    </w:p>
    <w:p>
      <w:pPr>
        <w:jc w:val="both"/>
        <w:ind w:left="620" w:firstLine="1617"/>
        <w:spacing w:after="0" w:line="301" w:lineRule="exact"/>
        <w:tabs>
          <w:tab w:leader="none" w:pos="2661"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any Note Party or any ERISA Affiliate that a Plan may become a subject of any such proceedings, (iii) the aggregate “amount of unfunded benefit liabilities” (within the meaning of section 4001(a)(18) of ERISA) under all Plans, determined in accordance with Title IV of ERISA, shall exceed an amount that could reasonably be expected to have a Material Adverse Effect, (iv) any Note Party or any ERISA Affiliate shall have incurred or is reasonably expected to incur any liability pursuant to Title I or IV of ERISA or the penalty or excise tax provisions of the Code relating to employee benefit plans, (v) any Note Party or any ERISA Affiliate withdraws from any Multiemployer Plan, or (vi) any Note Party or any Subsidiary establishes or amends any employee welfare benefit plan that provides post</w:t>
      </w:r>
      <w:r>
        <w:rPr>
          <w:rFonts w:ascii="MS PGothic" w:cs="MS PGothic" w:eastAsia="MS PGothic" w:hAnsi="MS PGothic"/>
          <w:sz w:val="19"/>
          <w:szCs w:val="19"/>
          <w:color w:val="auto"/>
        </w:rPr>
        <w:t>‑</w:t>
      </w:r>
      <w:r>
        <w:rPr>
          <w:rFonts w:ascii="Arial" w:cs="Arial" w:eastAsia="Arial" w:hAnsi="Arial"/>
          <w:sz w:val="19"/>
          <w:szCs w:val="19"/>
          <w:color w:val="auto"/>
        </w:rPr>
        <w:t xml:space="preserve">employment welfare benefits in a manner that would increase the liability of any Note Party or any Subsidiary thereunder; and any such event or events described in clauses (i) through (vi) above, either individually or together with any other such event or events, could reasonably be expected to have a Material Adverse Effect. As used in this Section 11(j), the terms </w:t>
      </w:r>
      <w:r>
        <w:rPr>
          <w:rFonts w:ascii="Arial" w:cs="Arial" w:eastAsia="Arial" w:hAnsi="Arial"/>
          <w:sz w:val="19"/>
          <w:szCs w:val="19"/>
          <w:b w:val="1"/>
          <w:bCs w:val="1"/>
          <w:color w:val="auto"/>
        </w:rPr>
        <w:t>“employee benefit plan”</w:t>
      </w:r>
      <w:r>
        <w:rPr>
          <w:rFonts w:ascii="Arial" w:cs="Arial" w:eastAsia="Arial" w:hAnsi="Arial"/>
          <w:sz w:val="19"/>
          <w:szCs w:val="19"/>
          <w:color w:val="auto"/>
        </w:rPr>
        <w:t xml:space="preserve"> and </w:t>
      </w:r>
      <w:r>
        <w:rPr>
          <w:rFonts w:ascii="Arial" w:cs="Arial" w:eastAsia="Arial" w:hAnsi="Arial"/>
          <w:sz w:val="19"/>
          <w:szCs w:val="19"/>
          <w:b w:val="1"/>
          <w:bCs w:val="1"/>
          <w:color w:val="auto"/>
        </w:rPr>
        <w:t>“employee welfare benefit plan”</w:t>
      </w:r>
      <w:r>
        <w:rPr>
          <w:rFonts w:ascii="Arial" w:cs="Arial" w:eastAsia="Arial" w:hAnsi="Arial"/>
          <w:sz w:val="19"/>
          <w:szCs w:val="19"/>
          <w:color w:val="auto"/>
        </w:rPr>
        <w:t xml:space="preserve"> shall have the respective meanings assigned to such terms in section 3 of ERISA; or</w:t>
      </w:r>
    </w:p>
    <w:p>
      <w:pPr>
        <w:spacing w:after="0" w:line="200" w:lineRule="exact"/>
        <w:rPr>
          <w:rFonts w:ascii="Arial" w:cs="Arial" w:eastAsia="Arial" w:hAnsi="Arial"/>
          <w:sz w:val="19"/>
          <w:szCs w:val="19"/>
          <w:color w:val="auto"/>
        </w:rPr>
      </w:pPr>
    </w:p>
    <w:p>
      <w:pPr>
        <w:spacing w:after="0" w:line="290" w:lineRule="exact"/>
        <w:rPr>
          <w:rFonts w:ascii="Arial" w:cs="Arial" w:eastAsia="Arial" w:hAnsi="Arial"/>
          <w:sz w:val="19"/>
          <w:szCs w:val="19"/>
          <w:color w:val="auto"/>
        </w:rPr>
      </w:pPr>
    </w:p>
    <w:p>
      <w:pPr>
        <w:jc w:val="both"/>
        <w:ind w:left="620" w:firstLine="1617"/>
        <w:spacing w:after="0" w:line="306" w:lineRule="auto"/>
        <w:tabs>
          <w:tab w:leader="none" w:pos="2716" w:val="left"/>
        </w:tabs>
        <w:numPr>
          <w:ilvl w:val="0"/>
          <w:numId w:val="65"/>
        </w:numPr>
        <w:rPr>
          <w:rFonts w:ascii="Arial" w:cs="Arial" w:eastAsia="Arial" w:hAnsi="Arial"/>
          <w:sz w:val="21"/>
          <w:szCs w:val="21"/>
          <w:color w:val="auto"/>
        </w:rPr>
      </w:pPr>
      <w:r>
        <w:rPr>
          <w:rFonts w:ascii="Arial" w:cs="Arial" w:eastAsia="Arial" w:hAnsi="Arial"/>
          <w:sz w:val="21"/>
          <w:szCs w:val="21"/>
          <w:color w:val="auto"/>
        </w:rPr>
        <w:t>any Affiliate Guaranty shall cease to be in full force and effect, any Note Party or any Person acting on behalf of any Note Party shall contest in any manner in writing the validity, binding nature or enforceability of any Affiliate Guaranty or the obligations of any Note Party under any Affiliate Guaranty are not or cease to be legal, valid, binding and enforceable in accordance with the terms of such Affiliate Guaranty, as the case may be.</w:t>
      </w:r>
    </w:p>
    <w:p>
      <w:pPr>
        <w:spacing w:after="0" w:line="200"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42</w:t>
      </w:r>
      <w:r>
        <w:rPr>
          <w:rFonts w:ascii="MS PGothic" w:cs="MS PGothic" w:eastAsia="MS PGothic" w:hAnsi="MS PGothic"/>
          <w:sz w:val="22"/>
          <w:szCs w:val="22"/>
          <w:color w:val="auto"/>
        </w:rPr>
        <w:t>‑</w:t>
      </w:r>
    </w:p>
    <w:p>
      <w:pPr>
        <w:sectPr>
          <w:pgSz w:w="11900" w:h="16838" w:orient="portrait"/>
          <w:cols w:equalWidth="0" w:num="1">
            <w:col w:w="11380"/>
          </w:cols>
          <w:pgMar w:left="280" w:top="280" w:right="239" w:bottom="1440" w:gutter="0" w:footer="0" w:header="0"/>
        </w:sectPr>
      </w:pPr>
    </w:p>
    <w:bookmarkStart w:id="55" w:name="page56"/>
    <w:bookmarkEnd w:id="55"/>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21"/>
          <w:szCs w:val="21"/>
          <w:b w:val="1"/>
          <w:bCs w:val="1"/>
          <w:color w:val="auto"/>
        </w:rPr>
        <w:t>REMEDIES ON DEFAULT, ETC</w:t>
      </w:r>
      <w:r>
        <w:rPr>
          <w:rFonts w:ascii="Arial" w:cs="Arial" w:eastAsia="Arial" w:hAnsi="Arial"/>
          <w:sz w:val="21"/>
          <w:szCs w:val="21"/>
          <w:color w:val="auto"/>
        </w:rPr>
        <w:t>.</w:t>
      </w:r>
    </w:p>
    <w:p>
      <w:pPr>
        <w:spacing w:after="0" w:line="287" w:lineRule="exact"/>
        <w:rPr>
          <w:sz w:val="20"/>
          <w:szCs w:val="20"/>
          <w:color w:val="auto"/>
        </w:rPr>
      </w:pPr>
    </w:p>
    <w:p>
      <w:pPr>
        <w:jc w:val="both"/>
        <w:ind w:firstLine="1513"/>
        <w:spacing w:after="0" w:line="290" w:lineRule="auto"/>
        <w:rPr>
          <w:sz w:val="20"/>
          <w:szCs w:val="20"/>
          <w:color w:val="auto"/>
        </w:rPr>
      </w:pPr>
      <w:r>
        <w:rPr>
          <w:rFonts w:ascii="Arial" w:cs="Arial" w:eastAsia="Arial" w:hAnsi="Arial"/>
          <w:sz w:val="22"/>
          <w:szCs w:val="22"/>
          <w:b w:val="1"/>
          <w:bCs w:val="1"/>
          <w:color w:val="auto"/>
        </w:rPr>
        <w:t>Section 12.1. Acceleration</w:t>
      </w:r>
      <w:r>
        <w:rPr>
          <w:rFonts w:ascii="Arial" w:cs="Arial" w:eastAsia="Arial" w:hAnsi="Arial"/>
          <w:sz w:val="22"/>
          <w:szCs w:val="22"/>
          <w:color w:val="auto"/>
        </w:rPr>
        <w:t>. (a) If an Event of Default with respect to any Note Party described in Section 11(g)</w:t>
      </w:r>
      <w:r>
        <w:rPr>
          <w:rFonts w:ascii="Arial" w:cs="Arial" w:eastAsia="Arial" w:hAnsi="Arial"/>
          <w:sz w:val="22"/>
          <w:szCs w:val="22"/>
          <w:b w:val="1"/>
          <w:bCs w:val="1"/>
          <w:color w:val="auto"/>
        </w:rPr>
        <w:t xml:space="preserve"> </w:t>
      </w:r>
      <w:r>
        <w:rPr>
          <w:rFonts w:ascii="Arial" w:cs="Arial" w:eastAsia="Arial" w:hAnsi="Arial"/>
          <w:sz w:val="22"/>
          <w:szCs w:val="22"/>
          <w:color w:val="auto"/>
        </w:rPr>
        <w:t>or (h) (other than an Event of Default described in clause (i) of Section 11(g) or described in clause (vi) of Section 11(g) by virtue of the fact that such clause encompasses clause (i) of Section 11(g)) has occurred, all the Notes then outstanding shall automatically become immediately due and payable.</w:t>
      </w:r>
    </w:p>
    <w:p>
      <w:pPr>
        <w:spacing w:after="0" w:line="215" w:lineRule="exact"/>
        <w:rPr>
          <w:sz w:val="20"/>
          <w:szCs w:val="20"/>
          <w:color w:val="auto"/>
        </w:rPr>
      </w:pPr>
    </w:p>
    <w:p>
      <w:pPr>
        <w:ind w:right="20" w:firstLine="832"/>
        <w:spacing w:after="0" w:line="387" w:lineRule="auto"/>
        <w:tabs>
          <w:tab w:leader="none" w:pos="1350" w:val="left"/>
        </w:tabs>
        <w:numPr>
          <w:ilvl w:val="0"/>
          <w:numId w:val="66"/>
        </w:numPr>
        <w:rPr>
          <w:rFonts w:ascii="Arial" w:cs="Arial" w:eastAsia="Arial" w:hAnsi="Arial"/>
          <w:sz w:val="19"/>
          <w:szCs w:val="19"/>
          <w:color w:val="auto"/>
        </w:rPr>
      </w:pPr>
      <w:r>
        <w:rPr>
          <w:rFonts w:ascii="Arial" w:cs="Arial" w:eastAsia="Arial" w:hAnsi="Arial"/>
          <w:sz w:val="19"/>
          <w:szCs w:val="19"/>
          <w:color w:val="auto"/>
        </w:rPr>
        <w:t>If any other Event of Default has occurred and is continuing, the Required Holders may at any time at its or their option, by notice or notices to the Company, declare all the Notes then outstanding to be immediately due and payable.</w:t>
      </w:r>
    </w:p>
    <w:p>
      <w:pPr>
        <w:spacing w:after="0" w:line="132" w:lineRule="exact"/>
        <w:rPr>
          <w:rFonts w:ascii="Arial" w:cs="Arial" w:eastAsia="Arial" w:hAnsi="Arial"/>
          <w:sz w:val="19"/>
          <w:szCs w:val="19"/>
          <w:color w:val="auto"/>
        </w:rPr>
      </w:pPr>
    </w:p>
    <w:p>
      <w:pPr>
        <w:jc w:val="both"/>
        <w:ind w:firstLine="832"/>
        <w:spacing w:after="0" w:line="292" w:lineRule="auto"/>
        <w:tabs>
          <w:tab w:leader="none" w:pos="1345" w:val="left"/>
        </w:tabs>
        <w:numPr>
          <w:ilvl w:val="0"/>
          <w:numId w:val="66"/>
        </w:numPr>
        <w:rPr>
          <w:rFonts w:ascii="Arial" w:cs="Arial" w:eastAsia="Arial" w:hAnsi="Arial"/>
          <w:sz w:val="22"/>
          <w:szCs w:val="22"/>
          <w:color w:val="auto"/>
        </w:rPr>
      </w:pPr>
      <w:r>
        <w:rPr>
          <w:rFonts w:ascii="Arial" w:cs="Arial" w:eastAsia="Arial" w:hAnsi="Arial"/>
          <w:sz w:val="22"/>
          <w:szCs w:val="22"/>
          <w:color w:val="auto"/>
        </w:rPr>
        <w:t>If any Event of Default described in Section 11(a) or (b)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spacing w:after="0" w:line="21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1"/>
          <w:szCs w:val="21"/>
          <w:color w:val="auto"/>
        </w:rPr>
        <w:t>Upon any Notes becoming due and payable under this Section 12.1, whether automatically or by declaration, such Notes will forthwith mature and the entire unpaid principal amount of such Notes, plus (x) all accrued and unpaid interest thereon in respect of any series (including, but not limited to, interest accrued thereon in respect of any series of the Notes at the Default Rate for such series, if applicable) and (y) the Make-Whole Amount determined in respect of such principal amount (to the full extent permitted by applicable law),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w:t>
      </w:r>
    </w:p>
    <w:p>
      <w:pPr>
        <w:spacing w:after="0" w:line="210" w:lineRule="exact"/>
        <w:rPr>
          <w:sz w:val="20"/>
          <w:szCs w:val="20"/>
          <w:color w:val="auto"/>
        </w:rPr>
      </w:pPr>
    </w:p>
    <w:p>
      <w:pPr>
        <w:jc w:val="both"/>
        <w:ind w:firstLine="1513"/>
        <w:spacing w:after="0" w:line="287" w:lineRule="auto"/>
        <w:rPr>
          <w:sz w:val="20"/>
          <w:szCs w:val="20"/>
          <w:color w:val="auto"/>
        </w:rPr>
      </w:pPr>
      <w:r>
        <w:rPr>
          <w:rFonts w:ascii="Arial" w:cs="Arial" w:eastAsia="Arial" w:hAnsi="Arial"/>
          <w:sz w:val="22"/>
          <w:szCs w:val="22"/>
          <w:b w:val="1"/>
          <w:bCs w:val="1"/>
          <w:color w:val="auto"/>
        </w:rPr>
        <w:t>Section 12.2. Other Remedies</w:t>
      </w:r>
      <w:r>
        <w:rPr>
          <w:rFonts w:ascii="Arial" w:cs="Arial" w:eastAsia="Arial" w:hAnsi="Arial"/>
          <w:sz w:val="22"/>
          <w:szCs w:val="22"/>
          <w:color w:val="auto"/>
        </w:rPr>
        <w:t>. If any Default or Event of Default has occurred and is continuing, and</w:t>
      </w:r>
      <w:r>
        <w:rPr>
          <w:rFonts w:ascii="Arial" w:cs="Arial" w:eastAsia="Arial" w:hAnsi="Arial"/>
          <w:sz w:val="22"/>
          <w:szCs w:val="22"/>
          <w:b w:val="1"/>
          <w:bCs w:val="1"/>
          <w:color w:val="auto"/>
        </w:rPr>
        <w:t xml:space="preserve"> </w:t>
      </w:r>
      <w:r>
        <w:rPr>
          <w:rFonts w:ascii="Arial" w:cs="Arial" w:eastAsia="Arial" w:hAnsi="Arial"/>
          <w:sz w:val="22"/>
          <w:szCs w:val="22"/>
          <w:color w:val="auto"/>
        </w:rPr>
        <w:t>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Document, or for an injunction against a violation of any of the terms hereof or thereof, or in aid of the exercise of any power granted hereby or thereby or by law or otherwise.</w:t>
      </w:r>
    </w:p>
    <w:p>
      <w:pPr>
        <w:spacing w:after="0" w:line="217"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43</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56" w:name="page57"/>
    <w:bookmarkEnd w:id="56"/>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1513"/>
        <w:spacing w:after="0" w:line="299" w:lineRule="auto"/>
        <w:rPr>
          <w:sz w:val="20"/>
          <w:szCs w:val="20"/>
          <w:color w:val="auto"/>
        </w:rPr>
      </w:pPr>
      <w:r>
        <w:rPr>
          <w:rFonts w:ascii="Arial" w:cs="Arial" w:eastAsia="Arial" w:hAnsi="Arial"/>
          <w:sz w:val="21"/>
          <w:szCs w:val="21"/>
          <w:b w:val="1"/>
          <w:bCs w:val="1"/>
          <w:color w:val="auto"/>
        </w:rPr>
        <w:t>Section 12.3. Rescission</w:t>
      </w:r>
      <w:r>
        <w:rPr>
          <w:rFonts w:ascii="Arial" w:cs="Arial" w:eastAsia="Arial" w:hAnsi="Arial"/>
          <w:sz w:val="21"/>
          <w:szCs w:val="21"/>
          <w:color w:val="auto"/>
        </w:rPr>
        <w:t>. At any time after any Notes have been declared due and payable pursuant to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12.1(b) or (c), the Required Holders,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Make-Whole Amount, if any, and (to the extent permitted by applicable law) any overdue interest in respect of the Notes, at the Default Rate for the applicable series, (b) 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(d)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spacing w:after="0" w:line="202" w:lineRule="exact"/>
        <w:rPr>
          <w:sz w:val="20"/>
          <w:szCs w:val="20"/>
          <w:color w:val="auto"/>
        </w:rPr>
      </w:pPr>
    </w:p>
    <w:p>
      <w:pPr>
        <w:jc w:val="both"/>
        <w:ind w:firstLine="1513"/>
        <w:spacing w:after="0" w:line="300" w:lineRule="auto"/>
        <w:rPr>
          <w:sz w:val="20"/>
          <w:szCs w:val="20"/>
          <w:color w:val="auto"/>
        </w:rPr>
      </w:pPr>
      <w:r>
        <w:rPr>
          <w:rFonts w:ascii="Arial" w:cs="Arial" w:eastAsia="Arial" w:hAnsi="Arial"/>
          <w:sz w:val="21"/>
          <w:szCs w:val="21"/>
          <w:b w:val="1"/>
          <w:bCs w:val="1"/>
          <w:color w:val="auto"/>
        </w:rPr>
        <w:t>Section 12.4. No Waivers or Election of Remedies, Expenses, Etc</w:t>
      </w:r>
      <w:r>
        <w:rPr>
          <w:rFonts w:ascii="Arial" w:cs="Arial" w:eastAsia="Arial" w:hAnsi="Arial"/>
          <w:sz w:val="21"/>
          <w:szCs w:val="21"/>
          <w:color w:val="auto"/>
        </w:rPr>
        <w:t>. No course of dealing and no delay on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 of any holder of any Note in exercising any right, power or remedy shall operate as a waiver thereof or otherwise prejudice such holder’s rights, powers or remedies. No right, power or remedy conferred by any Note Document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Note on demand such further amount as shall be sufficient to cover all reasonable and documented costs and expenses of such holder incurred in any enforcement or collection under this Section 12, including, without limitation, reasonable and documented attorneys’ fees, expenses and disbursements.</w:t>
      </w:r>
    </w:p>
    <w:p>
      <w:pPr>
        <w:spacing w:after="0" w:line="246"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21"/>
          <w:szCs w:val="21"/>
          <w:b w:val="1"/>
          <w:bCs w:val="1"/>
          <w:color w:val="auto"/>
        </w:rPr>
        <w:t>REGISTRATION; EXCHANGE; SUBSTITUTION OF NOTES</w:t>
      </w:r>
      <w:r>
        <w:rPr>
          <w:rFonts w:ascii="Arial" w:cs="Arial" w:eastAsia="Arial" w:hAnsi="Arial"/>
          <w:sz w:val="21"/>
          <w:szCs w:val="21"/>
          <w:color w:val="auto"/>
        </w:rPr>
        <w:t>.</w:t>
      </w:r>
    </w:p>
    <w:p>
      <w:pPr>
        <w:spacing w:after="0" w:line="287" w:lineRule="exact"/>
        <w:rPr>
          <w:sz w:val="20"/>
          <w:szCs w:val="20"/>
          <w:color w:val="auto"/>
        </w:rPr>
      </w:pPr>
    </w:p>
    <w:p>
      <w:pPr>
        <w:jc w:val="both"/>
        <w:ind w:firstLine="1513"/>
        <w:spacing w:after="0" w:line="334" w:lineRule="auto"/>
        <w:rPr>
          <w:sz w:val="20"/>
          <w:szCs w:val="20"/>
          <w:color w:val="auto"/>
        </w:rPr>
      </w:pPr>
      <w:r>
        <w:rPr>
          <w:rFonts w:ascii="Arial" w:cs="Arial" w:eastAsia="Arial" w:hAnsi="Arial"/>
          <w:sz w:val="19"/>
          <w:szCs w:val="19"/>
          <w:b w:val="1"/>
          <w:bCs w:val="1"/>
          <w:color w:val="auto"/>
        </w:rPr>
        <w:t>Section 13.1. Registration of Notes</w:t>
      </w:r>
      <w:r>
        <w:rPr>
          <w:rFonts w:ascii="Arial" w:cs="Arial" w:eastAsia="Arial" w:hAnsi="Arial"/>
          <w:sz w:val="19"/>
          <w:szCs w:val="19"/>
          <w:color w:val="auto"/>
        </w:rPr>
        <w:t>. The Company shall keep at its principal executive office a register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 and registration of transfers of Notes. The name and address of each holder of one or more Notes, each transfer thereof and the name and address of each transferee of one or more Notes shall be registered in such register. If any holder of one or more Notes is a nominee, then (a) the name and address of the beneficial owner of such Note or Notes shall also be registered in such register as an owner and holder thereof and (b) at any such beneficial owner’s option, either such beneficial owner or its nominee may execute any amendment, waiver or consent pursuant to this Agreement. Prior to due presentment for registration of transfer, the Person(s) in whose name any Note(s) shall be registered shall be deemed and treated as the owner and holder thereof for all purposes hereof, and the Company shall not be affected by any notice or knowledge to the contrary. The Company shall give to any holder of a Note that is an Institutional Investor</w:t>
      </w:r>
    </w:p>
    <w:p>
      <w:pPr>
        <w:spacing w:after="0" w:line="187"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44</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57" w:name="page58"/>
    <w:bookmarkEnd w:id="57"/>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auto"/>
        </w:rPr>
        <w:t>promptly upon request therefor, a complete and correct copy of the names and addresses of all registered holders of Notes.</w:t>
      </w:r>
    </w:p>
    <w:p>
      <w:pPr>
        <w:spacing w:after="0" w:line="316" w:lineRule="exact"/>
        <w:rPr>
          <w:sz w:val="20"/>
          <w:szCs w:val="20"/>
          <w:color w:val="auto"/>
        </w:rPr>
      </w:pPr>
    </w:p>
    <w:p>
      <w:pPr>
        <w:jc w:val="both"/>
        <w:ind w:firstLine="1513"/>
        <w:spacing w:after="0" w:line="331" w:lineRule="auto"/>
        <w:rPr>
          <w:sz w:val="20"/>
          <w:szCs w:val="20"/>
          <w:color w:val="auto"/>
        </w:rPr>
      </w:pPr>
      <w:r>
        <w:rPr>
          <w:rFonts w:ascii="Arial" w:cs="Arial" w:eastAsia="Arial" w:hAnsi="Arial"/>
          <w:sz w:val="19"/>
          <w:szCs w:val="19"/>
          <w:b w:val="1"/>
          <w:bCs w:val="1"/>
          <w:color w:val="auto"/>
        </w:rPr>
        <w:t>Section 13.2. Transfer and Exchange of Notes</w:t>
      </w:r>
      <w:r>
        <w:rPr>
          <w:rFonts w:ascii="Arial" w:cs="Arial" w:eastAsia="Arial" w:hAnsi="Arial"/>
          <w:sz w:val="19"/>
          <w:szCs w:val="19"/>
          <w:color w:val="auto"/>
        </w:rPr>
        <w:t>. Upon surrender of any Note to the Company at the address and</w:t>
      </w:r>
      <w:r>
        <w:rPr>
          <w:rFonts w:ascii="Arial" w:cs="Arial" w:eastAsia="Arial" w:hAnsi="Arial"/>
          <w:sz w:val="19"/>
          <w:szCs w:val="19"/>
          <w:b w:val="1"/>
          <w:bCs w:val="1"/>
          <w:color w:val="auto"/>
        </w:rPr>
        <w:t xml:space="preserve"> </w:t>
      </w:r>
      <w:r>
        <w:rPr>
          <w:rFonts w:ascii="Arial" w:cs="Arial" w:eastAsia="Arial" w:hAnsi="Arial"/>
          <w:sz w:val="19"/>
          <w:szCs w:val="19"/>
          <w:color w:val="auto"/>
        </w:rPr>
        <w:t>to the attention of the designated officer (all as specified in Section 18(iii)),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ten Business Days thereafter, the Company shall execute and deliver, at the Company’s expense (except as provided below), one or more new Notes of the same series (as requested by the holder thereof) in exchange therefor, in an aggregate principal amount equal to the unpaid principal amount of the surrendered Note. Each such new Note shall be payable to such Person as such holder may request and shall be substantially in the form of Schedule 1(a), Schedule 1(b) or Schedule 1(c).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$100,000, provided that if necessary to enable the registration of transfer by a holder of its entire holding of Notes, one Note may be in a denomination of less than $100,000. Any transferee, by its acceptance of a Note registered in its name (or the name of its nominee), shall be deemed to have made the representation set forth in Section 6.2.</w:t>
      </w:r>
    </w:p>
    <w:p>
      <w:pPr>
        <w:spacing w:after="0" w:line="200" w:lineRule="exact"/>
        <w:rPr>
          <w:sz w:val="20"/>
          <w:szCs w:val="20"/>
          <w:color w:val="auto"/>
        </w:rPr>
      </w:pPr>
    </w:p>
    <w:p>
      <w:pPr>
        <w:spacing w:after="0" w:line="281" w:lineRule="exact"/>
        <w:rPr>
          <w:sz w:val="20"/>
          <w:szCs w:val="20"/>
          <w:color w:val="auto"/>
        </w:rPr>
      </w:pPr>
    </w:p>
    <w:p>
      <w:pPr>
        <w:jc w:val="both"/>
        <w:ind w:firstLine="1513"/>
        <w:spacing w:after="0" w:line="308" w:lineRule="auto"/>
        <w:rPr>
          <w:sz w:val="20"/>
          <w:szCs w:val="20"/>
          <w:color w:val="auto"/>
        </w:rPr>
      </w:pPr>
      <w:r>
        <w:rPr>
          <w:rFonts w:ascii="Arial" w:cs="Arial" w:eastAsia="Arial" w:hAnsi="Arial"/>
          <w:sz w:val="21"/>
          <w:szCs w:val="21"/>
          <w:b w:val="1"/>
          <w:bCs w:val="1"/>
          <w:color w:val="auto"/>
        </w:rPr>
        <w:t xml:space="preserve">Section 13.3. Replacement of Notes </w:t>
      </w:r>
      <w:r>
        <w:rPr>
          <w:rFonts w:ascii="Arial" w:cs="Arial" w:eastAsia="Arial" w:hAnsi="Arial"/>
          <w:sz w:val="21"/>
          <w:szCs w:val="21"/>
          <w:color w:val="auto"/>
        </w:rPr>
        <w:t>. Upon receipt by the Company at the address and to the attention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designated officer (all as specified in Section 18(iii))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spacing w:after="0" w:line="198" w:lineRule="exact"/>
        <w:rPr>
          <w:sz w:val="20"/>
          <w:szCs w:val="20"/>
          <w:color w:val="auto"/>
        </w:rPr>
      </w:pPr>
    </w:p>
    <w:p>
      <w:pPr>
        <w:jc w:val="both"/>
        <w:ind w:left="660" w:firstLine="1617"/>
        <w:spacing w:after="0" w:line="288" w:lineRule="auto"/>
        <w:tabs>
          <w:tab w:leader="none" w:pos="2794"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the case of loss, theft or destruction, of indemnity reasonably satisfactory to it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holder of such Note is, or is a nominee for, an original Purchaser or another holder of a Note with a minimum net worth of at least $100,000,000 or a Qualified Institutional Buyer, such Person’s own unsecured agreement of indemnity shall be deemed to be satisfactory), or</w:t>
      </w:r>
    </w:p>
    <w:p>
      <w:pPr>
        <w:spacing w:after="0" w:line="217" w:lineRule="exact"/>
        <w:rPr>
          <w:rFonts w:ascii="Arial" w:cs="Arial" w:eastAsia="Arial" w:hAnsi="Arial"/>
          <w:sz w:val="22"/>
          <w:szCs w:val="22"/>
          <w:color w:val="auto"/>
        </w:rPr>
      </w:pPr>
    </w:p>
    <w:p>
      <w:pPr>
        <w:ind w:left="2740" w:hanging="463"/>
        <w:spacing w:after="0"/>
        <w:tabs>
          <w:tab w:leader="none" w:pos="27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the case of mutilation, upon surrender and cancellation thereof,</w:t>
      </w:r>
    </w:p>
    <w:p>
      <w:pPr>
        <w:spacing w:after="0" w:line="287"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within ten Business Days thereafter, the Company at its own expense shall execute and deliver, in lieu thereof, a new Note of the same series, dated and bearing interest from the date to which interest</w:t>
      </w:r>
    </w:p>
    <w:p>
      <w:pPr>
        <w:spacing w:after="0" w:line="20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45</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58" w:name="page59"/>
    <w:bookmarkEnd w:id="58"/>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shall have been paid on such lost, stolen, destroyed or mutilated Note or dated the date of such lost, stolen, destroyed or mutilated Note if no interest shall have been paid thereon.</w:t>
      </w:r>
    </w:p>
    <w:p>
      <w:pPr>
        <w:spacing w:after="0" w:line="235"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21"/>
          <w:szCs w:val="21"/>
          <w:b w:val="1"/>
          <w:bCs w:val="1"/>
          <w:color w:val="auto"/>
        </w:rPr>
        <w:t>PAYMENTS ON NOTES</w:t>
      </w:r>
      <w:r>
        <w:rPr>
          <w:rFonts w:ascii="Arial" w:cs="Arial" w:eastAsia="Arial" w:hAnsi="Arial"/>
          <w:sz w:val="21"/>
          <w:szCs w:val="21"/>
          <w:color w:val="auto"/>
        </w:rPr>
        <w:t>.</w:t>
      </w:r>
    </w:p>
    <w:p>
      <w:pPr>
        <w:spacing w:after="0" w:line="287" w:lineRule="exact"/>
        <w:rPr>
          <w:sz w:val="20"/>
          <w:szCs w:val="20"/>
          <w:color w:val="auto"/>
        </w:rPr>
      </w:pPr>
    </w:p>
    <w:p>
      <w:pPr>
        <w:jc w:val="both"/>
        <w:ind w:firstLine="1513"/>
        <w:spacing w:after="0" w:line="288" w:lineRule="auto"/>
        <w:rPr>
          <w:sz w:val="20"/>
          <w:szCs w:val="20"/>
          <w:color w:val="auto"/>
        </w:rPr>
      </w:pPr>
      <w:r>
        <w:rPr>
          <w:rFonts w:ascii="Arial" w:cs="Arial" w:eastAsia="Arial" w:hAnsi="Arial"/>
          <w:sz w:val="22"/>
          <w:szCs w:val="22"/>
          <w:b w:val="1"/>
          <w:bCs w:val="1"/>
          <w:color w:val="auto"/>
        </w:rPr>
        <w:t>Section 14.1. Place of Payment</w:t>
      </w:r>
      <w:r>
        <w:rPr>
          <w:rFonts w:ascii="Arial" w:cs="Arial" w:eastAsia="Arial" w:hAnsi="Arial"/>
          <w:sz w:val="22"/>
          <w:szCs w:val="22"/>
          <w:color w:val="auto"/>
        </w:rPr>
        <w:t>. Subject to Section 14.2, payments of principal, Make-Whole Amount, if any,</w:t>
      </w:r>
      <w:r>
        <w:rPr>
          <w:rFonts w:ascii="Arial" w:cs="Arial" w:eastAsia="Arial" w:hAnsi="Arial"/>
          <w:sz w:val="22"/>
          <w:szCs w:val="22"/>
          <w:b w:val="1"/>
          <w:bCs w:val="1"/>
          <w:color w:val="auto"/>
        </w:rPr>
        <w:t xml:space="preserve"> </w:t>
      </w:r>
      <w:r>
        <w:rPr>
          <w:rFonts w:ascii="Arial" w:cs="Arial" w:eastAsia="Arial" w:hAnsi="Arial"/>
          <w:sz w:val="22"/>
          <w:szCs w:val="22"/>
          <w:color w:val="auto"/>
        </w:rPr>
        <w:t>and interest becoming due and payable on the Notes shall be made in New York, New York at the principal office of Bank of America, N.A.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spacing w:after="0" w:line="211" w:lineRule="exact"/>
        <w:rPr>
          <w:sz w:val="20"/>
          <w:szCs w:val="20"/>
          <w:color w:val="auto"/>
        </w:rPr>
      </w:pPr>
    </w:p>
    <w:p>
      <w:pPr>
        <w:jc w:val="both"/>
        <w:ind w:firstLine="1513"/>
        <w:spacing w:after="0" w:line="331" w:lineRule="auto"/>
        <w:rPr>
          <w:sz w:val="20"/>
          <w:szCs w:val="20"/>
          <w:color w:val="auto"/>
        </w:rPr>
      </w:pPr>
      <w:r>
        <w:rPr>
          <w:rFonts w:ascii="Arial" w:cs="Arial" w:eastAsia="Arial" w:hAnsi="Arial"/>
          <w:sz w:val="19"/>
          <w:szCs w:val="19"/>
          <w:b w:val="1"/>
          <w:bCs w:val="1"/>
          <w:color w:val="auto"/>
        </w:rPr>
        <w:t xml:space="preserve">Section 14.2. Home Office Payment </w:t>
      </w:r>
      <w:r>
        <w:rPr>
          <w:rFonts w:ascii="Arial" w:cs="Arial" w:eastAsia="Arial" w:hAnsi="Arial"/>
          <w:sz w:val="19"/>
          <w:szCs w:val="19"/>
          <w:color w:val="auto"/>
        </w:rPr>
        <w:t>. So long as any Purchaser or its nominee shall be the holder of any</w:t>
      </w:r>
      <w:r>
        <w:rPr>
          <w:rFonts w:ascii="Arial" w:cs="Arial" w:eastAsia="Arial" w:hAnsi="Arial"/>
          <w:sz w:val="19"/>
          <w:szCs w:val="19"/>
          <w:b w:val="1"/>
          <w:bCs w:val="1"/>
          <w:color w:val="auto"/>
        </w:rPr>
        <w:t xml:space="preserve"> </w:t>
      </w:r>
      <w:r>
        <w:rPr>
          <w:rFonts w:ascii="Arial" w:cs="Arial" w:eastAsia="Arial" w:hAnsi="Arial"/>
          <w:sz w:val="19"/>
          <w:szCs w:val="19"/>
          <w:color w:val="auto"/>
        </w:rPr>
        <w:t>Note, and notwithstanding anything contained in Section 14.1 or in such Note to the contrary, the Company will pay all sums becoming due on such Note for principal, Make-Whole Amount, if any, interest and all other amounts becoming due hereunder by the method and at the address specified for such purpose below such Purchaser’s name in Schedule B,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Section 14.1.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Section 13.2. The Company will afford the benefits of this Section 14.2 to any Institutional Investor that is the direct or indirect transferee of any Note purchased by a Purchaser under this Agreement and that has made the same agreement relating to such Note as the Purchasers have made in this Section 14.2.</w:t>
      </w:r>
    </w:p>
    <w:p>
      <w:pPr>
        <w:spacing w:after="0" w:line="225"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b w:val="1"/>
          <w:bCs w:val="1"/>
          <w:color w:val="auto"/>
        </w:rPr>
        <w:t>EXPENSES, ETC</w:t>
      </w:r>
      <w:r>
        <w:rPr>
          <w:rFonts w:ascii="Arial" w:cs="Arial" w:eastAsia="Arial" w:hAnsi="Arial"/>
          <w:sz w:val="19"/>
          <w:szCs w:val="19"/>
          <w:color w:val="auto"/>
        </w:rPr>
        <w:t>.</w:t>
      </w:r>
    </w:p>
    <w:p>
      <w:pPr>
        <w:spacing w:after="0" w:line="287" w:lineRule="exact"/>
        <w:rPr>
          <w:sz w:val="20"/>
          <w:szCs w:val="20"/>
          <w:color w:val="auto"/>
        </w:rPr>
      </w:pPr>
    </w:p>
    <w:p>
      <w:pPr>
        <w:jc w:val="both"/>
        <w:ind w:firstLine="1513"/>
        <w:spacing w:after="0" w:line="343" w:lineRule="auto"/>
        <w:rPr>
          <w:sz w:val="20"/>
          <w:szCs w:val="20"/>
          <w:color w:val="auto"/>
        </w:rPr>
      </w:pPr>
      <w:r>
        <w:rPr>
          <w:rFonts w:ascii="Arial" w:cs="Arial" w:eastAsia="Arial" w:hAnsi="Arial"/>
          <w:sz w:val="19"/>
          <w:szCs w:val="19"/>
          <w:b w:val="1"/>
          <w:bCs w:val="1"/>
          <w:color w:val="auto"/>
        </w:rPr>
        <w:t>Section 15.1. Transaction Expenses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or not the transactions contemplated hereby are consummated,</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will pay all reasonable and documented costs and expenses (including reasonable and documented attorneys’ fees of one special counsel for the holders, taken as a whole, and, if reasonably required by the Required Holders, one local counsel in each applicable jurisdiction and/or one specialty counsel in any applicable specialty) incurred by the Purchasers and each other holder of a Note in connection with such transactions and in connection with any</w:t>
      </w:r>
    </w:p>
    <w:p>
      <w:pPr>
        <w:spacing w:after="0" w:line="173"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46</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59" w:name="page60"/>
    <w:bookmarkEnd w:id="59"/>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98" w:lineRule="auto"/>
        <w:rPr>
          <w:sz w:val="20"/>
          <w:szCs w:val="20"/>
          <w:color w:val="auto"/>
        </w:rPr>
      </w:pPr>
      <w:r>
        <w:rPr>
          <w:rFonts w:ascii="Arial" w:cs="Arial" w:eastAsia="Arial" w:hAnsi="Arial"/>
          <w:sz w:val="21"/>
          <w:szCs w:val="21"/>
          <w:color w:val="auto"/>
        </w:rPr>
        <w:t xml:space="preserve">amendments, waivers or consents under or in respect of any Note Document (whether or not such amendment, waiver or consent becomes effective), including, without limitation: (a) the costs and expenses incurred in enforcing or defending (or determining whether or how to enforce or defend) any rights under any Note Document or in responding to any subpoena or other legal process or informal investigative demand issued in connection with any Note Document, or by reason of being a holder of any Note, (b) the costs and expenses, including fees of one financial advisor for all of the holders, taken as a whole, incurred in connection with the insolvency or bankruptcy of any Note Document or any Subsidiary or in connection with any work-out or restructuring of the transactions contemplated by any Note Document and (c) the costs and expenses incurred in connection with the initial filing of this Agreement and all related documents and financial information with the SVO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costs and expenses under this clause (c) shall not exceed $3,500. 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and (ii) any and all wire transfer fees that any bank deducts from any payment under such Note to such holder or otherwise charges to a holder of a Note with respect to a payment under such Note.</w:t>
      </w:r>
    </w:p>
    <w:p>
      <w:pPr>
        <w:spacing w:after="0" w:line="202" w:lineRule="exact"/>
        <w:rPr>
          <w:sz w:val="20"/>
          <w:szCs w:val="20"/>
          <w:color w:val="auto"/>
        </w:rPr>
      </w:pPr>
    </w:p>
    <w:p>
      <w:pPr>
        <w:jc w:val="both"/>
        <w:ind w:firstLine="1513"/>
        <w:spacing w:after="0" w:line="294" w:lineRule="auto"/>
        <w:rPr>
          <w:sz w:val="20"/>
          <w:szCs w:val="20"/>
          <w:color w:val="auto"/>
        </w:rPr>
      </w:pPr>
      <w:r>
        <w:rPr>
          <w:rFonts w:ascii="Arial" w:cs="Arial" w:eastAsia="Arial" w:hAnsi="Arial"/>
          <w:sz w:val="22"/>
          <w:szCs w:val="22"/>
          <w:b w:val="1"/>
          <w:bCs w:val="1"/>
          <w:color w:val="auto"/>
        </w:rPr>
        <w:t xml:space="preserve">Section 15.2. Survival </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obligations of the Company under this Section 15 will survive the payment or</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of any Note, the enforcement, amendment or waiver of any provision of any Note Document, and the termination of this Agreement.</w:t>
      </w:r>
    </w:p>
    <w:p>
      <w:pPr>
        <w:spacing w:after="0" w:line="245"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21"/>
          <w:szCs w:val="21"/>
          <w:b w:val="1"/>
          <w:bCs w:val="1"/>
          <w:color w:val="auto"/>
        </w:rPr>
        <w:t>SURVIVAL OF REPRESENTATIONS AND WARRANTIES; ENTIRE AGREEMENT</w:t>
      </w:r>
      <w:r>
        <w:rPr>
          <w:rFonts w:ascii="Arial" w:cs="Arial" w:eastAsia="Arial" w:hAnsi="Arial"/>
          <w:sz w:val="21"/>
          <w:szCs w:val="21"/>
          <w:color w:val="auto"/>
        </w:rPr>
        <w:t>.</w:t>
      </w:r>
    </w:p>
    <w:p>
      <w:pPr>
        <w:spacing w:after="0" w:line="29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a Note Party pursuant to this Agreement shall be deemed representations and warranties of such Note Party under this Agreement. Subject to the preceding sentence, this Agreement and the other Note Documents embody the entire agreement and understanding between each Purchaser and the Note Parties and supersede all prior agreements and understandings relating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47</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60" w:name="page61"/>
    <w:bookmarkEnd w:id="60"/>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17.</w:t>
        <w:tab/>
        <w:t>AMENDMENT AND WAIVER</w:t>
      </w:r>
      <w:r>
        <w:rPr>
          <w:rFonts w:ascii="Arial" w:cs="Arial" w:eastAsia="Arial" w:hAnsi="Arial"/>
          <w:sz w:val="22"/>
          <w:szCs w:val="22"/>
          <w:color w:val="auto"/>
        </w:rPr>
        <w:t>.</w:t>
      </w:r>
    </w:p>
    <w:p>
      <w:pPr>
        <w:spacing w:after="0" w:line="287" w:lineRule="exact"/>
        <w:rPr>
          <w:sz w:val="20"/>
          <w:szCs w:val="20"/>
          <w:color w:val="auto"/>
        </w:rPr>
      </w:pPr>
    </w:p>
    <w:p>
      <w:pPr>
        <w:jc w:val="both"/>
        <w:ind w:firstLine="1513"/>
        <w:spacing w:after="0" w:line="294" w:lineRule="auto"/>
        <w:rPr>
          <w:sz w:val="20"/>
          <w:szCs w:val="20"/>
          <w:color w:val="auto"/>
        </w:rPr>
      </w:pPr>
      <w:r>
        <w:rPr>
          <w:rFonts w:ascii="Arial" w:cs="Arial" w:eastAsia="Arial" w:hAnsi="Arial"/>
          <w:sz w:val="22"/>
          <w:szCs w:val="22"/>
          <w:b w:val="1"/>
          <w:bCs w:val="1"/>
          <w:color w:val="auto"/>
        </w:rPr>
        <w:t>Section 17.1. Requirements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the Notes may be amended, and the observance of any term</w:t>
      </w:r>
      <w:r>
        <w:rPr>
          <w:rFonts w:ascii="Arial" w:cs="Arial" w:eastAsia="Arial" w:hAnsi="Arial"/>
          <w:sz w:val="22"/>
          <w:szCs w:val="22"/>
          <w:b w:val="1"/>
          <w:bCs w:val="1"/>
          <w:color w:val="auto"/>
        </w:rPr>
        <w:t xml:space="preserve"> </w:t>
      </w:r>
      <w:r>
        <w:rPr>
          <w:rFonts w:ascii="Arial" w:cs="Arial" w:eastAsia="Arial" w:hAnsi="Arial"/>
          <w:sz w:val="22"/>
          <w:szCs w:val="22"/>
          <w:color w:val="auto"/>
        </w:rPr>
        <w:t>hereof or of the Notes may be waived (either retroactively or prospectively), only with the written consent of the Company and the Required Holders, except that:</w:t>
      </w:r>
    </w:p>
    <w:p>
      <w:pPr>
        <w:spacing w:after="0" w:line="211" w:lineRule="exact"/>
        <w:rPr>
          <w:sz w:val="20"/>
          <w:szCs w:val="20"/>
          <w:color w:val="auto"/>
        </w:rPr>
      </w:pPr>
    </w:p>
    <w:p>
      <w:pPr>
        <w:ind w:left="660" w:firstLine="1617"/>
        <w:spacing w:after="0" w:line="328" w:lineRule="auto"/>
        <w:tabs>
          <w:tab w:leader="none" w:pos="2747" w:val="left"/>
        </w:tabs>
        <w:numPr>
          <w:ilvl w:val="0"/>
          <w:numId w:val="68"/>
        </w:numPr>
        <w:rPr>
          <w:rFonts w:ascii="Arial" w:cs="Arial" w:eastAsia="Arial" w:hAnsi="Arial"/>
          <w:sz w:val="21"/>
          <w:szCs w:val="21"/>
          <w:color w:val="auto"/>
        </w:rPr>
      </w:pPr>
      <w:r>
        <w:rPr>
          <w:rFonts w:ascii="Arial" w:cs="Arial" w:eastAsia="Arial" w:hAnsi="Arial"/>
          <w:sz w:val="21"/>
          <w:szCs w:val="21"/>
          <w:color w:val="auto"/>
        </w:rPr>
        <w:t>no amendment or waiver of any of Sections 1, 2, 3, 4, 5, 6 or 21 hereof, or any defined term (as it is used therein), will be effective as to any Purchaser unless consented to by such Purchaser in writing; and</w:t>
      </w:r>
    </w:p>
    <w:p>
      <w:pPr>
        <w:spacing w:after="0" w:line="177" w:lineRule="exact"/>
        <w:rPr>
          <w:rFonts w:ascii="Arial" w:cs="Arial" w:eastAsia="Arial" w:hAnsi="Arial"/>
          <w:sz w:val="21"/>
          <w:szCs w:val="21"/>
          <w:color w:val="auto"/>
        </w:rPr>
      </w:pPr>
    </w:p>
    <w:p>
      <w:pPr>
        <w:jc w:val="both"/>
        <w:ind w:left="660" w:firstLine="1617"/>
        <w:spacing w:after="0" w:line="298" w:lineRule="auto"/>
        <w:tabs>
          <w:tab w:leader="none" w:pos="2816" w:val="left"/>
        </w:tabs>
        <w:numPr>
          <w:ilvl w:val="0"/>
          <w:numId w:val="68"/>
        </w:numPr>
        <w:rPr>
          <w:rFonts w:ascii="Arial" w:cs="Arial" w:eastAsia="Arial" w:hAnsi="Arial"/>
          <w:sz w:val="21"/>
          <w:szCs w:val="21"/>
          <w:color w:val="auto"/>
        </w:rPr>
      </w:pPr>
      <w:r>
        <w:rPr>
          <w:rFonts w:ascii="Arial" w:cs="Arial" w:eastAsia="Arial" w:hAnsi="Arial"/>
          <w:sz w:val="21"/>
          <w:szCs w:val="21"/>
          <w:color w:val="auto"/>
        </w:rPr>
        <w:t>no amendment or waiver may, without the written consent of (A) prior to the Second Closing, each holder of a Series A Note at the time outstanding and each Purchaser of Series B Notes and each Purchaser of Series C Notes, (B) after the Second Closing and before the Third Closing, each holder of a Series A Note and each holder of a Series B Note at the time outstanding and each Purchaser of a Series C Note, and (C) any time on or after the Third Closing, each holder of each Note at the time outstanding, (i) subject to Section 12 relating to acceleration or rescission, change the amount or time of any prepayment or payment of principal of, or reduce the rate or change the time of payment or method of computation of (x) interest on the Notes or (y) the Make-Whole Amount, (ii) change the percentage of the principal amount of the Notes the holders of which are required to consent to any amendment or waiver or the principal amount of the Notes that the Purchasers are to purchase pursuant to Section 2 upon the satisfaction of the conditions to Closing that appear in Section 4, or (iii) amend any of Sections 8 (except as set forth in the second sentence of Section 8.2), 11(a), 11(b), 12, 17 or 20.</w:t>
      </w:r>
    </w:p>
    <w:p>
      <w:pPr>
        <w:spacing w:after="0" w:line="207" w:lineRule="exact"/>
        <w:rPr>
          <w:sz w:val="20"/>
          <w:szCs w:val="20"/>
          <w:color w:val="auto"/>
        </w:rPr>
      </w:pPr>
    </w:p>
    <w:p>
      <w:pPr>
        <w:ind w:left="1520"/>
        <w:spacing w:after="0"/>
        <w:tabs>
          <w:tab w:leader="none" w:pos="2880" w:val="left"/>
        </w:tabs>
        <w:rPr>
          <w:sz w:val="20"/>
          <w:szCs w:val="20"/>
          <w:color w:val="auto"/>
        </w:rPr>
      </w:pPr>
      <w:r>
        <w:rPr>
          <w:rFonts w:ascii="Arial" w:cs="Arial" w:eastAsia="Arial" w:hAnsi="Arial"/>
          <w:sz w:val="22"/>
          <w:szCs w:val="22"/>
          <w:b w:val="1"/>
          <w:bCs w:val="1"/>
          <w:color w:val="auto"/>
        </w:rPr>
        <w:t>Section 17.2.</w:t>
      </w:r>
      <w:r>
        <w:rPr>
          <w:sz w:val="20"/>
          <w:szCs w:val="20"/>
          <w:color w:val="auto"/>
        </w:rPr>
        <w:tab/>
      </w:r>
      <w:r>
        <w:rPr>
          <w:rFonts w:ascii="Arial" w:cs="Arial" w:eastAsia="Arial" w:hAnsi="Arial"/>
          <w:sz w:val="19"/>
          <w:szCs w:val="19"/>
          <w:b w:val="1"/>
          <w:bCs w:val="1"/>
          <w:color w:val="auto"/>
        </w:rPr>
        <w:t>Solicitation of Holders of Notes</w:t>
      </w:r>
      <w:r>
        <w:rPr>
          <w:rFonts w:ascii="Arial" w:cs="Arial" w:eastAsia="Arial" w:hAnsi="Arial"/>
          <w:sz w:val="19"/>
          <w:szCs w:val="19"/>
          <w:color w:val="auto"/>
        </w:rPr>
        <w:t>.</w:t>
      </w:r>
    </w:p>
    <w:p>
      <w:pPr>
        <w:spacing w:after="0" w:line="293" w:lineRule="exact"/>
        <w:rPr>
          <w:sz w:val="20"/>
          <w:szCs w:val="20"/>
          <w:color w:val="auto"/>
        </w:rPr>
      </w:pPr>
    </w:p>
    <w:p>
      <w:pPr>
        <w:jc w:val="both"/>
        <w:ind w:firstLine="832"/>
        <w:spacing w:after="0" w:line="338" w:lineRule="auto"/>
        <w:tabs>
          <w:tab w:leader="none" w:pos="1401"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 xml:space="preserve">Solicitation. </w:t>
      </w:r>
      <w:r>
        <w:rPr>
          <w:rFonts w:ascii="Arial" w:cs="Arial" w:eastAsia="Arial" w:hAnsi="Arial"/>
          <w:sz w:val="19"/>
          <w:szCs w:val="19"/>
          <w:color w:val="auto"/>
        </w:rPr>
        <w:t>The Company will provide each Purchaser and each holder of a Note with sufficient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sufficiently far in advance of the date a decision is required, to enable such Purchaser or such holder to make an informed and considered decision with respect to any proposed amendment, waiver or consent in respect of any of the provisions of any Note Document. The Company will deliver executed or true and correct copies of each amendment, waiver or consent effected pursuant to any Note Document to each Purchaser and each holder of a Note promptly following the date on which it is executed and delivered by, or receives the consent or approval of, the requisite Purchasers or holders of Notes.</w:t>
      </w:r>
    </w:p>
    <w:p>
      <w:pPr>
        <w:spacing w:after="0" w:line="179" w:lineRule="exact"/>
        <w:rPr>
          <w:rFonts w:ascii="Arial" w:cs="Arial" w:eastAsia="Arial" w:hAnsi="Arial"/>
          <w:sz w:val="19"/>
          <w:szCs w:val="19"/>
          <w:color w:val="auto"/>
        </w:rPr>
      </w:pPr>
    </w:p>
    <w:p>
      <w:pPr>
        <w:jc w:val="both"/>
        <w:ind w:firstLine="832"/>
        <w:spacing w:after="0" w:line="292" w:lineRule="auto"/>
        <w:tabs>
          <w:tab w:leader="none" w:pos="1305"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 xml:space="preserve">Payment. </w:t>
      </w:r>
      <w:r>
        <w:rPr>
          <w:rFonts w:ascii="Arial" w:cs="Arial" w:eastAsia="Arial" w:hAnsi="Arial"/>
          <w:sz w:val="22"/>
          <w:szCs w:val="22"/>
          <w:color w:val="auto"/>
        </w:rPr>
        <w:t>The Company will not directly or indirectly pay or cause to be paid any remuneration, whether by way of</w:t>
      </w:r>
      <w:r>
        <w:rPr>
          <w:rFonts w:ascii="Arial" w:cs="Arial" w:eastAsia="Arial" w:hAnsi="Arial"/>
          <w:sz w:val="22"/>
          <w:szCs w:val="22"/>
          <w:i w:val="1"/>
          <w:iCs w:val="1"/>
          <w:color w:val="auto"/>
        </w:rPr>
        <w:t xml:space="preserve"> </w:t>
      </w:r>
      <w:r>
        <w:rPr>
          <w:rFonts w:ascii="Arial" w:cs="Arial" w:eastAsia="Arial" w:hAnsi="Arial"/>
          <w:sz w:val="22"/>
          <w:szCs w:val="22"/>
          <w:color w:val="auto"/>
        </w:rPr>
        <w:t>supplemental or additional interest, fee or otherwise, or grant any security or provide other credit support, to any Purchaser or holder of a Note as consideration for</w:t>
      </w:r>
    </w:p>
    <w:p>
      <w:pPr>
        <w:spacing w:after="0" w:line="21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48</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61" w:name="page62"/>
    <w:bookmarkEnd w:id="61"/>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or as an inducement to the entering into by such Purchaser or holder of any waiver or amendment of any of the terms and provisions of any Note Document unless such remuneration is concurrently paid, or security is concurrently granted or other credit support concurrently provided, on the same terms, ratably to each Purchaser and holder of a Note even if such holder did not consent to such waiver or amendment.</w:t>
      </w:r>
    </w:p>
    <w:p>
      <w:pPr>
        <w:spacing w:after="0" w:line="217" w:lineRule="exact"/>
        <w:rPr>
          <w:sz w:val="20"/>
          <w:szCs w:val="20"/>
          <w:color w:val="auto"/>
        </w:rPr>
      </w:pPr>
    </w:p>
    <w:p>
      <w:pPr>
        <w:jc w:val="both"/>
        <w:ind w:firstLine="832"/>
        <w:spacing w:after="0" w:line="285" w:lineRule="auto"/>
        <w:tabs>
          <w:tab w:leader="none" w:pos="1280" w:val="left"/>
        </w:tabs>
        <w:numPr>
          <w:ilvl w:val="0"/>
          <w:numId w:val="70"/>
        </w:numPr>
        <w:rPr>
          <w:rFonts w:ascii="Arial" w:cs="Arial" w:eastAsia="Arial" w:hAnsi="Arial"/>
          <w:sz w:val="22"/>
          <w:szCs w:val="22"/>
          <w:color w:val="auto"/>
        </w:rPr>
      </w:pPr>
      <w:r>
        <w:rPr>
          <w:rFonts w:ascii="Arial" w:cs="Arial" w:eastAsia="Arial" w:hAnsi="Arial"/>
          <w:sz w:val="22"/>
          <w:szCs w:val="22"/>
          <w:i w:val="1"/>
          <w:iCs w:val="1"/>
          <w:color w:val="auto"/>
        </w:rPr>
        <w:t>Consent in Contemplation of Transfer</w:t>
      </w:r>
      <w:r>
        <w:rPr>
          <w:rFonts w:ascii="Arial" w:cs="Arial" w:eastAsia="Arial" w:hAnsi="Arial"/>
          <w:sz w:val="22"/>
          <w:szCs w:val="22"/>
          <w:color w:val="auto"/>
        </w:rPr>
        <w:t>. Any consent given pursuant to any Note Document by a holder of a Note that</w:t>
      </w:r>
      <w:r>
        <w:rPr>
          <w:rFonts w:ascii="Arial" w:cs="Arial" w:eastAsia="Arial" w:hAnsi="Arial"/>
          <w:sz w:val="22"/>
          <w:szCs w:val="22"/>
          <w:i w:val="1"/>
          <w:iCs w:val="1"/>
          <w:color w:val="auto"/>
        </w:rPr>
        <w:t xml:space="preserve"> </w:t>
      </w:r>
      <w:r>
        <w:rPr>
          <w:rFonts w:ascii="Arial" w:cs="Arial" w:eastAsia="Arial" w:hAnsi="Arial"/>
          <w:sz w:val="22"/>
          <w:szCs w:val="22"/>
          <w:color w:val="auto"/>
        </w:rPr>
        <w:t>has transferred or has agreed to transfer its Note to any Note Party, any Subsidiary or any Affiliate of any Note Party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spacing w:after="0" w:line="217" w:lineRule="exact"/>
        <w:rPr>
          <w:sz w:val="20"/>
          <w:szCs w:val="20"/>
          <w:color w:val="auto"/>
        </w:rPr>
      </w:pPr>
    </w:p>
    <w:p>
      <w:pPr>
        <w:jc w:val="both"/>
        <w:ind w:firstLine="1513"/>
        <w:spacing w:after="0" w:line="286" w:lineRule="auto"/>
        <w:rPr>
          <w:sz w:val="20"/>
          <w:szCs w:val="20"/>
          <w:color w:val="auto"/>
        </w:rPr>
      </w:pPr>
      <w:r>
        <w:rPr>
          <w:rFonts w:ascii="Arial" w:cs="Arial" w:eastAsia="Arial" w:hAnsi="Arial"/>
          <w:sz w:val="22"/>
          <w:szCs w:val="22"/>
          <w:b w:val="1"/>
          <w:bCs w:val="1"/>
          <w:color w:val="auto"/>
        </w:rPr>
        <w:t>Section 17.3. Binding Effect, Etc</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Any amendment or waiver consented to as provided in any Note Document</w:t>
      </w:r>
      <w:r>
        <w:rPr>
          <w:rFonts w:ascii="Arial" w:cs="Arial" w:eastAsia="Arial" w:hAnsi="Arial"/>
          <w:sz w:val="22"/>
          <w:szCs w:val="22"/>
          <w:b w:val="1"/>
          <w:bCs w:val="1"/>
          <w:color w:val="auto"/>
        </w:rPr>
        <w:t xml:space="preserve"> </w:t>
      </w:r>
      <w:r>
        <w:rPr>
          <w:rFonts w:ascii="Arial" w:cs="Arial" w:eastAsia="Arial" w:hAnsi="Arial"/>
          <w:sz w:val="22"/>
          <w:szCs w:val="22"/>
          <w:color w:val="auto"/>
        </w:rPr>
        <w:t>applies equally to all Purchasers and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Note Parties and any Purchaser or holder of a Note and no delay in exercising any rights under any Note Document shall operate as a waiver of any rights of any Purchaser or holder of such Note.</w:t>
      </w:r>
    </w:p>
    <w:p>
      <w:pPr>
        <w:spacing w:after="0" w:line="213" w:lineRule="exact"/>
        <w:rPr>
          <w:sz w:val="20"/>
          <w:szCs w:val="20"/>
          <w:color w:val="auto"/>
        </w:rPr>
      </w:pPr>
    </w:p>
    <w:p>
      <w:pPr>
        <w:jc w:val="both"/>
        <w:ind w:firstLine="1513"/>
        <w:spacing w:after="0" w:line="343" w:lineRule="auto"/>
        <w:rPr>
          <w:sz w:val="20"/>
          <w:szCs w:val="20"/>
          <w:color w:val="auto"/>
        </w:rPr>
      </w:pPr>
      <w:r>
        <w:rPr>
          <w:rFonts w:ascii="Arial" w:cs="Arial" w:eastAsia="Arial" w:hAnsi="Arial"/>
          <w:sz w:val="19"/>
          <w:szCs w:val="19"/>
          <w:b w:val="1"/>
          <w:bCs w:val="1"/>
          <w:color w:val="auto"/>
        </w:rPr>
        <w:t>Section 17.4. Notes Held by Company, etc</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Solely for the purpose of determining whether the holders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requisite percentage of the aggregate principal amount of Notes then outstanding approved or consented to any amendment, waiver or consent to be given under any Note Document, or have directed the taking of any action provided in any Note Document to be taken upon the direction of the holders of a specified percentage of the aggregate principal amount of Notes then outstanding, Notes directly or indirectly owned by any Note Party or any of its Affiliates shall be deemed not to be outstanding.</w:t>
      </w:r>
    </w:p>
    <w:p>
      <w:pPr>
        <w:spacing w:after="0" w:line="173"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49</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62" w:name="page63"/>
    <w:bookmarkEnd w:id="62"/>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21"/>
          <w:szCs w:val="21"/>
          <w:b w:val="1"/>
          <w:bCs w:val="1"/>
          <w:color w:val="auto"/>
        </w:rPr>
        <w:t>NOTICES</w:t>
      </w:r>
      <w:r>
        <w:rPr>
          <w:rFonts w:ascii="Arial" w:cs="Arial" w:eastAsia="Arial" w:hAnsi="Arial"/>
          <w:sz w:val="21"/>
          <w:szCs w:val="21"/>
          <w:color w:val="auto"/>
        </w:rPr>
        <w:t>.</w:t>
      </w:r>
    </w:p>
    <w:p>
      <w:pPr>
        <w:spacing w:after="0" w:line="293"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Except to the extent otherwise provided in Section 7.4, all notices and communications provided for hereunder shall be in writing and sent (a) by telecopy if the sender on the same day sends a confirming copy of such notice by an internationally recognized overnight delivery service (charges prepaid), or (b) by registered or certified mail with return receipt requested (postage prepaid), or (c) by an internationally recognized overnight delivery service (with charges prepaid). Any such notice must be sent:</w:t>
      </w:r>
    </w:p>
    <w:p>
      <w:pPr>
        <w:spacing w:after="0" w:line="172" w:lineRule="exact"/>
        <w:rPr>
          <w:sz w:val="20"/>
          <w:szCs w:val="20"/>
          <w:color w:val="auto"/>
        </w:rPr>
      </w:pPr>
    </w:p>
    <w:p>
      <w:pPr>
        <w:jc w:val="both"/>
        <w:ind w:left="660" w:right="20" w:firstLine="1617"/>
        <w:spacing w:after="0" w:line="292" w:lineRule="auto"/>
        <w:tabs>
          <w:tab w:leader="none" w:pos="27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if to any Purchaser or its nominee, to such Purchaser or nominee at the address specified for such communications in Schedule B, or at such other address as such Purchaser or nominee shall have specified to the Company in writing,</w:t>
      </w:r>
    </w:p>
    <w:p>
      <w:pPr>
        <w:spacing w:after="0" w:line="211" w:lineRule="exact"/>
        <w:rPr>
          <w:rFonts w:ascii="Arial" w:cs="Arial" w:eastAsia="Arial" w:hAnsi="Arial"/>
          <w:sz w:val="22"/>
          <w:szCs w:val="22"/>
          <w:color w:val="auto"/>
        </w:rPr>
      </w:pPr>
    </w:p>
    <w:p>
      <w:pPr>
        <w:ind w:left="660" w:firstLine="1617"/>
        <w:spacing w:after="0" w:line="302" w:lineRule="auto"/>
        <w:tabs>
          <w:tab w:leader="none" w:pos="2822" w:val="left"/>
        </w:tabs>
        <w:numPr>
          <w:ilvl w:val="0"/>
          <w:numId w:val="71"/>
        </w:numPr>
        <w:rPr>
          <w:rFonts w:ascii="Arial" w:cs="Arial" w:eastAsia="Arial" w:hAnsi="Arial"/>
          <w:sz w:val="22"/>
          <w:szCs w:val="22"/>
          <w:color w:val="auto"/>
        </w:rPr>
      </w:pPr>
      <w:r>
        <w:rPr>
          <w:rFonts w:ascii="Arial" w:cs="Arial" w:eastAsia="Arial" w:hAnsi="Arial"/>
          <w:sz w:val="22"/>
          <w:szCs w:val="22"/>
          <w:color w:val="auto"/>
        </w:rPr>
        <w:t>if to any other holder of any Note, to such holder at such address as such other holder shall have specified to the Company in writing, or</w:t>
      </w:r>
    </w:p>
    <w:p>
      <w:pPr>
        <w:spacing w:after="0" w:line="200" w:lineRule="exact"/>
        <w:rPr>
          <w:rFonts w:ascii="Arial" w:cs="Arial" w:eastAsia="Arial" w:hAnsi="Arial"/>
          <w:sz w:val="22"/>
          <w:szCs w:val="22"/>
          <w:color w:val="auto"/>
        </w:rPr>
      </w:pPr>
    </w:p>
    <w:p>
      <w:pPr>
        <w:jc w:val="both"/>
        <w:ind w:left="660" w:firstLine="1617"/>
        <w:spacing w:after="0" w:line="292" w:lineRule="auto"/>
        <w:tabs>
          <w:tab w:leader="none" w:pos="2835" w:val="left"/>
        </w:tabs>
        <w:numPr>
          <w:ilvl w:val="0"/>
          <w:numId w:val="71"/>
        </w:numPr>
        <w:rPr>
          <w:rFonts w:ascii="Arial" w:cs="Arial" w:eastAsia="Arial" w:hAnsi="Arial"/>
          <w:sz w:val="22"/>
          <w:szCs w:val="22"/>
          <w:color w:val="auto"/>
        </w:rPr>
      </w:pPr>
      <w:r>
        <w:rPr>
          <w:rFonts w:ascii="Arial" w:cs="Arial" w:eastAsia="Arial" w:hAnsi="Arial"/>
          <w:sz w:val="22"/>
          <w:szCs w:val="22"/>
          <w:color w:val="auto"/>
        </w:rPr>
        <w:t>if to any Note Party, to the Company at its address set forth at the beginning hereof to the attention of Chief Financial Officer with a copy to the General Counsel, or at such other address as the Company shall have specified to the holder of each Note in writing.</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Notices under this Section 18 will be deemed given only when actually received.</w:t>
      </w:r>
    </w:p>
    <w:p>
      <w:pPr>
        <w:spacing w:after="0" w:line="322"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21"/>
          <w:szCs w:val="21"/>
          <w:b w:val="1"/>
          <w:bCs w:val="1"/>
          <w:color w:val="auto"/>
        </w:rPr>
        <w:t>REPRODUCTION OF DOCUMENTS</w:t>
      </w:r>
      <w:r>
        <w:rPr>
          <w:rFonts w:ascii="Arial" w:cs="Arial" w:eastAsia="Arial" w:hAnsi="Arial"/>
          <w:sz w:val="21"/>
          <w:szCs w:val="21"/>
          <w:color w:val="auto"/>
        </w:rPr>
        <w:t>.</w:t>
      </w:r>
    </w:p>
    <w:p>
      <w:pPr>
        <w:spacing w:after="0" w:line="293"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color w:val="auto"/>
        </w:rPr>
        <w:t>The Note Documents and all documents relating thereto, including, without limitation, (a) consents, waivers and modifications that may hereafter be executed, (b) documents received by any Purchaser at the 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a Note Party or any other holder of Notes from contesting any such reproduction to the same extent that it could contest the original, or from introducing evidence to demonstrate the inaccuracy of any such reproduction.</w:t>
      </w:r>
    </w:p>
    <w:p>
      <w:pPr>
        <w:spacing w:after="0" w:line="183"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50</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63" w:name="page64"/>
    <w:bookmarkEnd w:id="63"/>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20.</w:t>
        <w:tab/>
        <w:t>CONFIDENTIAL INFORMATION</w:t>
      </w:r>
      <w:r>
        <w:rPr>
          <w:rFonts w:ascii="Arial" w:cs="Arial" w:eastAsia="Arial" w:hAnsi="Arial"/>
          <w:sz w:val="22"/>
          <w:szCs w:val="22"/>
          <w:color w:val="auto"/>
        </w:rPr>
        <w:t>.</w:t>
      </w:r>
    </w:p>
    <w:p>
      <w:pPr>
        <w:spacing w:after="0" w:line="287"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9"/>
          <w:szCs w:val="19"/>
          <w:color w:val="auto"/>
        </w:rPr>
        <w:t xml:space="preserve">For the purposes of this Section 20,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xml:space="preserve"> means information delivered to any Purchaser by or on behalf of any Note Party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such Note Party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a Note Party or any Subsidiary or (d) constitutes financial statements delivered to such Purchaser under Section 7.1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officers, employees, agents, attorneys, trustees and affiliates (to the extent such disclosure reasonably relates to the administration of the investment represented by its Notes), (ii) its auditors, financial advisors and other professional advisors who agree to hold confidential the Confidential Information substantially in accordance with this Section 20, (iii) any other holder of any Note, (iv) any Institutional Investor to which it sells or offers to sell such Note or any part thereof or any participation therein (if such Person has agreed in writing prior to its receipt of such Confidential Information to be bound by this Section 20), (v) any Person from which it offers to purchase any Security of any Note Party (if such Person has agreed in writing prior to its receipt of such Confidential Information to be bound by this Section 20), (vi) any federal or state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or any other Note Document.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this Section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51</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64" w:name="page65"/>
    <w:bookmarkEnd w:id="64"/>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pacing w:after="0" w:line="287"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In the event that as a condition to receiving access to information relating to any Note Party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spacing w:after="0" w:line="211"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21"/>
          <w:szCs w:val="21"/>
          <w:b w:val="1"/>
          <w:bCs w:val="1"/>
          <w:color w:val="auto"/>
        </w:rPr>
        <w:t>SUBSTITUTION OF PURCHASER</w:t>
      </w:r>
      <w:r>
        <w:rPr>
          <w:rFonts w:ascii="Arial" w:cs="Arial" w:eastAsia="Arial" w:hAnsi="Arial"/>
          <w:sz w:val="21"/>
          <w:szCs w:val="21"/>
          <w:color w:val="auto"/>
        </w:rPr>
        <w:t>.</w:t>
      </w:r>
    </w:p>
    <w:p>
      <w:pPr>
        <w:spacing w:after="0" w:line="293"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9"/>
          <w:szCs w:val="19"/>
          <w:color w:val="auto"/>
        </w:rPr>
        <w:t xml:space="preserve">Each Purchaser shall have the right to substitute any one of its Affiliates or another Purchaser or any one of such other Purchaser’s Affiliates (a </w:t>
      </w:r>
      <w:r>
        <w:rPr>
          <w:rFonts w:ascii="Arial" w:cs="Arial" w:eastAsia="Arial" w:hAnsi="Arial"/>
          <w:sz w:val="19"/>
          <w:szCs w:val="19"/>
          <w:b w:val="1"/>
          <w:bCs w:val="1"/>
          <w:color w:val="auto"/>
        </w:rPr>
        <w:t>“Substitute Purchaser”</w:t>
      </w:r>
      <w:r>
        <w:rPr>
          <w:rFonts w:ascii="Arial" w:cs="Arial" w:eastAsia="Arial" w:hAnsi="Arial"/>
          <w:sz w:val="19"/>
          <w:szCs w:val="19"/>
          <w:color w:val="auto"/>
        </w:rPr>
        <w:t>) as the purchaser of the Notes that it has agreed to purchase hereunder, by written notice to the Company, which notice shall be signed by both such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Notes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Notes under this Agreement.</w:t>
      </w:r>
    </w:p>
    <w:p>
      <w:pPr>
        <w:spacing w:after="0" w:line="221"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21"/>
          <w:szCs w:val="21"/>
          <w:b w:val="1"/>
          <w:bCs w:val="1"/>
          <w:color w:val="auto"/>
        </w:rPr>
        <w:t>MISCELLANEOUS</w:t>
      </w:r>
      <w:r>
        <w:rPr>
          <w:rFonts w:ascii="Arial" w:cs="Arial" w:eastAsia="Arial" w:hAnsi="Arial"/>
          <w:sz w:val="21"/>
          <w:szCs w:val="21"/>
          <w:color w:val="auto"/>
        </w:rPr>
        <w:t>.</w:t>
      </w:r>
    </w:p>
    <w:p>
      <w:pPr>
        <w:spacing w:after="0" w:line="287" w:lineRule="exact"/>
        <w:rPr>
          <w:sz w:val="20"/>
          <w:szCs w:val="20"/>
          <w:color w:val="auto"/>
        </w:rPr>
      </w:pPr>
    </w:p>
    <w:p>
      <w:pPr>
        <w:jc w:val="both"/>
        <w:ind w:firstLine="1513"/>
        <w:spacing w:after="0" w:line="294" w:lineRule="auto"/>
        <w:rPr>
          <w:sz w:val="20"/>
          <w:szCs w:val="20"/>
          <w:color w:val="auto"/>
        </w:rPr>
      </w:pPr>
      <w:r>
        <w:rPr>
          <w:rFonts w:ascii="Arial" w:cs="Arial" w:eastAsia="Arial" w:hAnsi="Arial"/>
          <w:sz w:val="22"/>
          <w:szCs w:val="22"/>
          <w:b w:val="1"/>
          <w:bCs w:val="1"/>
          <w:color w:val="auto"/>
        </w:rPr>
        <w:t>Section 22.1. Successors and Assigns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All covenants and other agreements contained in this Agreement by or</w:t>
      </w:r>
      <w:r>
        <w:rPr>
          <w:rFonts w:ascii="Arial" w:cs="Arial" w:eastAsia="Arial" w:hAnsi="Arial"/>
          <w:sz w:val="22"/>
          <w:szCs w:val="22"/>
          <w:b w:val="1"/>
          <w:bCs w:val="1"/>
          <w:color w:val="auto"/>
        </w:rPr>
        <w:t xml:space="preserve"> </w:t>
      </w:r>
      <w:r>
        <w:rPr>
          <w:rFonts w:ascii="Arial" w:cs="Arial" w:eastAsia="Arial" w:hAnsi="Arial"/>
          <w:sz w:val="22"/>
          <w:szCs w:val="22"/>
          <w:color w:val="auto"/>
        </w:rPr>
        <w:t>on behalf of any of the parties hereto bind and inure to the benefit of their respective successors and assigns (including, without limitation, any subsequent holder of a Note) whether so expressed or not.</w:t>
      </w:r>
    </w:p>
    <w:p>
      <w:pPr>
        <w:spacing w:after="0" w:line="205" w:lineRule="exact"/>
        <w:rPr>
          <w:sz w:val="20"/>
          <w:szCs w:val="20"/>
          <w:color w:val="auto"/>
        </w:rPr>
      </w:pPr>
    </w:p>
    <w:p>
      <w:pPr>
        <w:jc w:val="both"/>
        <w:ind w:firstLine="1513"/>
        <w:spacing w:after="0" w:line="290" w:lineRule="auto"/>
        <w:rPr>
          <w:sz w:val="20"/>
          <w:szCs w:val="20"/>
          <w:color w:val="auto"/>
        </w:rPr>
      </w:pPr>
      <w:r>
        <w:rPr>
          <w:rFonts w:ascii="Arial" w:cs="Arial" w:eastAsia="Arial" w:hAnsi="Arial"/>
          <w:sz w:val="22"/>
          <w:szCs w:val="22"/>
          <w:b w:val="1"/>
          <w:bCs w:val="1"/>
          <w:color w:val="auto"/>
        </w:rPr>
        <w:t>Section 22.2. Accounting Terms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 All accounting terms used herein which are not expressly defined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have the meanings respectively given to them in accordance with GAAP. Except as otherwise specifically provided herein, (i) all computations made pursuant to this Agreement shall be made in accordance with GAAP, and (ii) all financial statements shall</w:t>
      </w:r>
    </w:p>
    <w:p>
      <w:pPr>
        <w:spacing w:after="0" w:line="215"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52</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65" w:name="page66"/>
    <w:bookmarkEnd w:id="65"/>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 xml:space="preserve">be prepared in accordance with GAAP. For purposes of determining compliance with this Agreement (including, without limitation, Section 9, Section 10 and the definition of </w:t>
      </w:r>
      <w:r>
        <w:rPr>
          <w:rFonts w:ascii="Arial" w:cs="Arial" w:eastAsia="Arial" w:hAnsi="Arial"/>
          <w:sz w:val="19"/>
          <w:szCs w:val="19"/>
          <w:b w:val="1"/>
          <w:bCs w:val="1"/>
          <w:color w:val="auto"/>
        </w:rPr>
        <w:t>“Indebtedness”</w:t>
      </w:r>
      <w:r>
        <w:rPr>
          <w:rFonts w:ascii="Arial" w:cs="Arial" w:eastAsia="Arial" w:hAnsi="Arial"/>
          <w:sz w:val="19"/>
          <w:szCs w:val="19"/>
          <w:color w:val="auto"/>
        </w:rPr>
        <w:t xml:space="preserve">), any election by the Company to measure any financial liability using fair value (as permitted by Financial Accounting Standards Board Accounting Standards Codification Topic No. 825-10-25 – </w:t>
      </w:r>
      <w:r>
        <w:rPr>
          <w:rFonts w:ascii="Arial" w:cs="Arial" w:eastAsia="Arial" w:hAnsi="Arial"/>
          <w:sz w:val="19"/>
          <w:szCs w:val="19"/>
          <w:i w:val="1"/>
          <w:iCs w:val="1"/>
          <w:color w:val="auto"/>
        </w:rPr>
        <w:t>Fair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Value Option, </w:t>
      </w:r>
      <w:r>
        <w:rPr>
          <w:rFonts w:ascii="Arial" w:cs="Arial" w:eastAsia="Arial" w:hAnsi="Arial"/>
          <w:sz w:val="19"/>
          <w:szCs w:val="19"/>
          <w:color w:val="auto"/>
        </w:rPr>
        <w:t>International Accounting Standard 39 –</w:t>
      </w:r>
      <w:r>
        <w:rPr>
          <w:rFonts w:ascii="Arial" w:cs="Arial" w:eastAsia="Arial" w:hAnsi="Arial"/>
          <w:sz w:val="19"/>
          <w:szCs w:val="19"/>
          <w:i w:val="1"/>
          <w:iCs w:val="1"/>
          <w:color w:val="auto"/>
        </w:rPr>
        <w:t xml:space="preserve"> Financial Instruments: Recognition and Measurement </w:t>
      </w:r>
      <w:r>
        <w:rPr>
          <w:rFonts w:ascii="Arial" w:cs="Arial" w:eastAsia="Arial" w:hAnsi="Arial"/>
          <w:sz w:val="19"/>
          <w:szCs w:val="19"/>
          <w:color w:val="auto"/>
        </w:rPr>
        <w:t>or any similar</w:t>
      </w:r>
      <w:r>
        <w:rPr>
          <w:rFonts w:ascii="Arial" w:cs="Arial" w:eastAsia="Arial" w:hAnsi="Arial"/>
          <w:sz w:val="19"/>
          <w:szCs w:val="19"/>
          <w:i w:val="1"/>
          <w:iCs w:val="1"/>
          <w:color w:val="auto"/>
        </w:rPr>
        <w:t xml:space="preserve"> </w:t>
      </w:r>
      <w:r>
        <w:rPr>
          <w:rFonts w:ascii="Arial" w:cs="Arial" w:eastAsia="Arial" w:hAnsi="Arial"/>
          <w:sz w:val="19"/>
          <w:szCs w:val="19"/>
          <w:color w:val="auto"/>
        </w:rPr>
        <w:t>accounting standard) shall be disregarded and such determination shall be made as if such election had not been made.</w:t>
      </w:r>
    </w:p>
    <w:p>
      <w:pPr>
        <w:spacing w:after="0" w:line="177" w:lineRule="exact"/>
        <w:rPr>
          <w:sz w:val="20"/>
          <w:szCs w:val="20"/>
          <w:color w:val="auto"/>
        </w:rPr>
      </w:pPr>
    </w:p>
    <w:p>
      <w:pPr>
        <w:jc w:val="both"/>
        <w:ind w:firstLine="832"/>
        <w:spacing w:after="0" w:line="332" w:lineRule="auto"/>
        <w:tabs>
          <w:tab w:leader="none" w:pos="1339"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If at any time any change in GAAP would affect the computation of any financial ratio or requirement set forth in any Note Document, and either the Company or the Required Holders shall so request, the holders of the Notes and the Company shall negotiate in good faith to amend such ratio or requirement to preserve the original intent thereof in light of such change in GAAP (subject to the approval of the Required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until so amended, (i) such ratio or requirement shall continue to be computed in accordance with GAAP prior to such change therein and (ii) the Company shall provide to the holders of the Notes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whether entered into prior to or after the Closing, shall continue to be classified and accounted for on a basis consistent with that reflected in the financial statements listed on Schedule 5.5 for all purposes under the Note Documents, notwithstanding any change in GAAP relating thereto, unless the parties hereto shall enter into a mutually agreeable amendment addressing such changes, as provided for above.</w:t>
      </w:r>
    </w:p>
    <w:p>
      <w:pPr>
        <w:spacing w:after="0" w:line="186" w:lineRule="exact"/>
        <w:rPr>
          <w:rFonts w:ascii="Arial" w:cs="Arial" w:eastAsia="Arial" w:hAnsi="Arial"/>
          <w:sz w:val="19"/>
          <w:szCs w:val="19"/>
          <w:color w:val="auto"/>
        </w:rPr>
      </w:pPr>
    </w:p>
    <w:p>
      <w:pPr>
        <w:jc w:val="both"/>
        <w:ind w:firstLine="832"/>
        <w:spacing w:after="0" w:line="287" w:lineRule="auto"/>
        <w:tabs>
          <w:tab w:leader="none" w:pos="1271"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references herein to consolidated financial statements of the REIT and its Subsidiaries or the Consolidated Group or to the determination of any amount for the REIT and its Subsidiaries or the Consolidated Group on a consolidated basis or any similar reference shall, in each case, be deemed to include each variable interest entity that the REIT or the Consolidated Group, as applicable, is required to consolidate pursuant to FASB ASC 810 as if such variable interest entity were a Subsidiary as defined therein.</w:t>
      </w:r>
    </w:p>
    <w:p>
      <w:pPr>
        <w:spacing w:after="0" w:line="216" w:lineRule="exact"/>
        <w:rPr>
          <w:rFonts w:ascii="Arial" w:cs="Arial" w:eastAsia="Arial" w:hAnsi="Arial"/>
          <w:sz w:val="22"/>
          <w:szCs w:val="22"/>
          <w:color w:val="auto"/>
        </w:rPr>
      </w:pPr>
    </w:p>
    <w:p>
      <w:pPr>
        <w:jc w:val="both"/>
        <w:ind w:firstLine="832"/>
        <w:spacing w:after="0" w:line="288" w:lineRule="auto"/>
        <w:tabs>
          <w:tab w:leader="none" w:pos="1311"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financial ratios required to be maintained by the Company pursuant to the Note Documents shall be calculated by dividing the appropriate component by the other component, carrying the result to one place more than the number of places by which such ratio is expressed in such Note Document and rounding the result up or down to the nearest number (with a rounding-up if there is no nearest number).</w:t>
      </w:r>
    </w:p>
    <w:p>
      <w:pPr>
        <w:spacing w:after="0" w:line="211" w:lineRule="exact"/>
        <w:rPr>
          <w:sz w:val="20"/>
          <w:szCs w:val="20"/>
          <w:color w:val="auto"/>
        </w:rPr>
      </w:pPr>
    </w:p>
    <w:p>
      <w:pPr>
        <w:jc w:val="both"/>
        <w:ind w:firstLine="1513"/>
        <w:spacing w:after="0" w:line="294" w:lineRule="auto"/>
        <w:rPr>
          <w:sz w:val="20"/>
          <w:szCs w:val="20"/>
          <w:color w:val="auto"/>
        </w:rPr>
      </w:pPr>
      <w:r>
        <w:rPr>
          <w:rFonts w:ascii="Arial" w:cs="Arial" w:eastAsia="Arial" w:hAnsi="Arial"/>
          <w:sz w:val="22"/>
          <w:szCs w:val="22"/>
          <w:b w:val="1"/>
          <w:bCs w:val="1"/>
          <w:color w:val="auto"/>
        </w:rPr>
        <w:t>Section 22.3. Severability</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Any provision of this Agreement that is prohibited or unenforceable in any</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shall, as to such jurisdiction, be ineffective to the extent of such prohibition or unenforceability without invalidating the remaining provisions hereof, and any such</w:t>
      </w:r>
    </w:p>
    <w:p>
      <w:pPr>
        <w:spacing w:after="0" w:line="21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53</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66" w:name="page67"/>
    <w:bookmarkEnd w:id="66"/>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prohibition or unenforceability in any jurisdiction shall (to the full extent permitted by law) not invalidate or render unenforceable such provision in any other jurisdiction.</w:t>
      </w:r>
    </w:p>
    <w:p>
      <w:pPr>
        <w:spacing w:after="0" w:line="195" w:lineRule="exact"/>
        <w:rPr>
          <w:sz w:val="20"/>
          <w:szCs w:val="20"/>
          <w:color w:val="auto"/>
        </w:rPr>
      </w:pPr>
    </w:p>
    <w:p>
      <w:pPr>
        <w:jc w:val="both"/>
        <w:ind w:firstLine="1513"/>
        <w:spacing w:after="0" w:line="304" w:lineRule="auto"/>
        <w:rPr>
          <w:sz w:val="20"/>
          <w:szCs w:val="20"/>
          <w:color w:val="auto"/>
        </w:rPr>
      </w:pPr>
      <w:r>
        <w:rPr>
          <w:rFonts w:ascii="Arial" w:cs="Arial" w:eastAsia="Arial" w:hAnsi="Arial"/>
          <w:sz w:val="21"/>
          <w:szCs w:val="21"/>
          <w:b w:val="1"/>
          <w:bCs w:val="1"/>
          <w:color w:val="auto"/>
        </w:rPr>
        <w:t>Section 22.4. Construction, Etc</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Each covenant contained herein shall be construed (absent express provision</w:t>
      </w:r>
      <w:r>
        <w:rPr>
          <w:rFonts w:ascii="Arial" w:cs="Arial" w:eastAsia="Arial" w:hAnsi="Arial"/>
          <w:sz w:val="21"/>
          <w:szCs w:val="21"/>
          <w:b w:val="1"/>
          <w:bCs w:val="1"/>
          <w:color w:val="auto"/>
        </w:rPr>
        <w:t xml:space="preserve"> </w:t>
      </w:r>
      <w:r>
        <w:rPr>
          <w:rFonts w:ascii="Arial" w:cs="Arial" w:eastAsia="Arial" w:hAnsi="Arial"/>
          <w:sz w:val="21"/>
          <w:szCs w:val="21"/>
          <w:color w:val="auto"/>
        </w:rPr>
        <w:t>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99" w:lineRule="exact"/>
        <w:rPr>
          <w:sz w:val="20"/>
          <w:szCs w:val="20"/>
          <w:color w:val="auto"/>
        </w:rPr>
      </w:pPr>
    </w:p>
    <w:p>
      <w:pPr>
        <w:jc w:val="both"/>
        <w:ind w:firstLine="1513"/>
        <w:spacing w:after="0" w:line="294" w:lineRule="auto"/>
        <w:rPr>
          <w:sz w:val="20"/>
          <w:szCs w:val="20"/>
          <w:color w:val="auto"/>
        </w:rPr>
      </w:pPr>
      <w:r>
        <w:rPr>
          <w:rFonts w:ascii="Arial" w:cs="Arial" w:eastAsia="Arial" w:hAnsi="Arial"/>
          <w:sz w:val="22"/>
          <w:szCs w:val="22"/>
          <w:b w:val="1"/>
          <w:bCs w:val="1"/>
          <w:color w:val="auto"/>
        </w:rPr>
        <w:t>Section 22.5. Counterparts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any number of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an original but all of which together shall constitute one instrument. Each counterpart may consist of a number of copies hereof, each signed by less than all, but together signed by all, of the parties hereto.</w:t>
      </w:r>
    </w:p>
    <w:p>
      <w:pPr>
        <w:spacing w:after="0" w:line="205" w:lineRule="exact"/>
        <w:rPr>
          <w:sz w:val="20"/>
          <w:szCs w:val="20"/>
          <w:color w:val="auto"/>
        </w:rPr>
      </w:pPr>
    </w:p>
    <w:p>
      <w:pPr>
        <w:jc w:val="both"/>
        <w:ind w:firstLine="1513"/>
        <w:spacing w:after="0" w:line="294" w:lineRule="auto"/>
        <w:rPr>
          <w:sz w:val="20"/>
          <w:szCs w:val="20"/>
          <w:color w:val="auto"/>
        </w:rPr>
      </w:pPr>
      <w:r>
        <w:rPr>
          <w:rFonts w:ascii="Arial" w:cs="Arial" w:eastAsia="Arial" w:hAnsi="Arial"/>
          <w:sz w:val="22"/>
          <w:szCs w:val="22"/>
          <w:b w:val="1"/>
          <w:bCs w:val="1"/>
          <w:color w:val="auto"/>
        </w:rPr>
        <w:t>Section 22.6. Governing Law</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construed and enforced in accordance with,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of the parties shall be governed by, the law of the State of New York excluding choice-of-law principles of the law of such State that would permit the application of the laws of a jurisdiction other than such State.</w:t>
      </w:r>
    </w:p>
    <w:p>
      <w:pPr>
        <w:spacing w:after="0" w:line="205" w:lineRule="exact"/>
        <w:rPr>
          <w:sz w:val="20"/>
          <w:szCs w:val="20"/>
          <w:color w:val="auto"/>
        </w:rPr>
      </w:pPr>
    </w:p>
    <w:p>
      <w:pPr>
        <w:jc w:val="both"/>
        <w:ind w:firstLine="1513"/>
        <w:spacing w:after="0" w:line="301" w:lineRule="auto"/>
        <w:rPr>
          <w:sz w:val="20"/>
          <w:szCs w:val="20"/>
          <w:color w:val="auto"/>
        </w:rPr>
      </w:pPr>
      <w:r>
        <w:rPr>
          <w:rFonts w:ascii="Arial" w:cs="Arial" w:eastAsia="Arial" w:hAnsi="Arial"/>
          <w:sz w:val="21"/>
          <w:szCs w:val="21"/>
          <w:b w:val="1"/>
          <w:bCs w:val="1"/>
          <w:color w:val="auto"/>
        </w:rPr>
        <w:t>Section 22.7. Jurisdiction and Process; Waiver of Jury Trial</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(a) The Company irrevocably submits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non-exclusive jurisdiction of any 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09" w:lineRule="exact"/>
        <w:rPr>
          <w:sz w:val="20"/>
          <w:szCs w:val="20"/>
          <w:color w:val="auto"/>
        </w:rPr>
      </w:pPr>
    </w:p>
    <w:p>
      <w:pPr>
        <w:jc w:val="both"/>
        <w:ind w:firstLine="832"/>
        <w:spacing w:after="0" w:line="326" w:lineRule="auto"/>
        <w:tabs>
          <w:tab w:leader="none" w:pos="1425"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Company consents to process being served by or on behalf of any holder of Notes in any suit, action or proceeding of the nature referred to in Section 22.7(a) by mailing a copy thereof by registered or certified mail (or any substantially similar form of mail), postage prepaid, return receipt requested, to it at its address specified in Section 18 or at such other address of which such holder shall then have been notified pursuant to said Section. The Company agrees that such service upon receipt</w:t>
      </w:r>
    </w:p>
    <w:p>
      <w:pPr>
        <w:spacing w:after="0" w:line="1" w:lineRule="exact"/>
        <w:rPr>
          <w:rFonts w:ascii="Arial" w:cs="Arial" w:eastAsia="Arial" w:hAnsi="Arial"/>
          <w:sz w:val="19"/>
          <w:szCs w:val="19"/>
          <w:color w:val="auto"/>
        </w:rPr>
      </w:pPr>
    </w:p>
    <w:p>
      <w:pPr>
        <w:jc w:val="both"/>
        <w:ind w:firstLine="8"/>
        <w:spacing w:after="0" w:line="292" w:lineRule="auto"/>
        <w:tabs>
          <w:tab w:leader="none" w:pos="268" w:val="left"/>
        </w:tabs>
        <w:numPr>
          <w:ilvl w:val="0"/>
          <w:numId w:val="74"/>
        </w:numPr>
        <w:rPr>
          <w:rFonts w:ascii="Arial" w:cs="Arial" w:eastAsia="Arial" w:hAnsi="Arial"/>
          <w:sz w:val="22"/>
          <w:szCs w:val="22"/>
          <w:color w:val="auto"/>
        </w:rPr>
      </w:pPr>
      <w:r>
        <w:rPr>
          <w:rFonts w:ascii="Arial" w:cs="Arial" w:eastAsia="Arial" w:hAnsi="Arial"/>
          <w:sz w:val="22"/>
          <w:szCs w:val="22"/>
          <w:color w:val="auto"/>
        </w:rPr>
        <w:t>shall be deemed in every respect effective service of process upon it in any such suit, action or proceeding and (ii) shall, to the fullest extent permitted by applicable law, be taken and held to be valid personal service upon and personal delivery to it. Notices hereunder shall be</w:t>
      </w:r>
    </w:p>
    <w:p>
      <w:pPr>
        <w:spacing w:after="0" w:line="21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54</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67" w:name="page68"/>
    <w:bookmarkEnd w:id="67"/>
    <w:p>
      <w:pPr>
        <w:ind w:left="40"/>
        <w:spacing w:after="0"/>
        <w:tabs>
          <w:tab w:leader="none" w:pos="910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conclusively presumed received as evidenced by a delivery receipt furnished by the United States Postal Service or any reputable commercial delivery service.</w:t>
      </w:r>
    </w:p>
    <w:p>
      <w:pPr>
        <w:spacing w:after="0" w:line="201" w:lineRule="exact"/>
        <w:rPr>
          <w:sz w:val="20"/>
          <w:szCs w:val="20"/>
          <w:color w:val="auto"/>
        </w:rPr>
      </w:pPr>
    </w:p>
    <w:p>
      <w:pPr>
        <w:jc w:val="both"/>
        <w:ind w:firstLine="832"/>
        <w:spacing w:after="0" w:line="357" w:lineRule="auto"/>
        <w:tabs>
          <w:tab w:leader="none" w:pos="1319" w:val="left"/>
        </w:tabs>
        <w:numPr>
          <w:ilvl w:val="0"/>
          <w:numId w:val="75"/>
        </w:numPr>
        <w:rPr>
          <w:rFonts w:ascii="Arial" w:cs="Arial" w:eastAsia="Arial" w:hAnsi="Arial"/>
          <w:sz w:val="19"/>
          <w:szCs w:val="19"/>
          <w:color w:val="auto"/>
        </w:rPr>
      </w:pPr>
      <w:r>
        <w:rPr>
          <w:rFonts w:ascii="Arial" w:cs="Arial" w:eastAsia="Arial" w:hAnsi="Arial"/>
          <w:sz w:val="19"/>
          <w:szCs w:val="19"/>
          <w:color w:val="auto"/>
        </w:rPr>
        <w:t>Nothing in this Section 22.7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p>
      <w:pPr>
        <w:spacing w:after="0" w:line="159" w:lineRule="exact"/>
        <w:rPr>
          <w:rFonts w:ascii="Arial" w:cs="Arial" w:eastAsia="Arial" w:hAnsi="Arial"/>
          <w:sz w:val="19"/>
          <w:szCs w:val="19"/>
          <w:color w:val="auto"/>
        </w:rPr>
      </w:pPr>
    </w:p>
    <w:p>
      <w:pPr>
        <w:jc w:val="both"/>
        <w:ind w:firstLine="832"/>
        <w:spacing w:after="0" w:line="292" w:lineRule="auto"/>
        <w:tabs>
          <w:tab w:leader="none" w:pos="1396"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PARTIES HERETO HEREBY WAIVE TRIAL BY JURY IN ANY ACTION BROUGHT ON OR WITH RESPECT TO THIS AGREEMENT, THE NOTES OR ANY OTHER DOCUMENT EXECUTED IN CONNECTION HEREWITH OR THEREWITH.</w:t>
      </w:r>
    </w:p>
    <w:p>
      <w:pPr>
        <w:spacing w:after="0" w:line="211" w:lineRule="exact"/>
        <w:rPr>
          <w:rFonts w:ascii="Arial" w:cs="Arial" w:eastAsia="Arial" w:hAnsi="Arial"/>
          <w:sz w:val="22"/>
          <w:szCs w:val="22"/>
          <w:color w:val="auto"/>
        </w:rPr>
      </w:pPr>
    </w:p>
    <w:p>
      <w:pPr>
        <w:ind w:left="5340"/>
        <w:spacing w:after="0"/>
        <w:rPr>
          <w:rFonts w:ascii="Arial" w:cs="Arial" w:eastAsia="Arial" w:hAnsi="Arial"/>
          <w:sz w:val="22"/>
          <w:szCs w:val="22"/>
          <w:color w:val="auto"/>
        </w:rPr>
      </w:pPr>
      <w:r>
        <w:rPr>
          <w:rFonts w:ascii="Arial" w:cs="Arial" w:eastAsia="Arial" w:hAnsi="Arial"/>
          <w:sz w:val="22"/>
          <w:szCs w:val="22"/>
          <w:color w:val="auto"/>
        </w:rPr>
        <w:t>* * * * *</w:t>
      </w:r>
    </w:p>
    <w:p>
      <w:pPr>
        <w:spacing w:after="0" w:line="287"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55</w:t>
      </w:r>
      <w:r>
        <w:rPr>
          <w:rFonts w:ascii="MS PGothic" w:cs="MS PGothic" w:eastAsia="MS PGothic" w:hAnsi="MS PGothic"/>
          <w:sz w:val="22"/>
          <w:szCs w:val="22"/>
          <w:color w:val="auto"/>
        </w:rPr>
        <w:t>‑</w:t>
      </w:r>
    </w:p>
    <w:p>
      <w:pPr>
        <w:sectPr>
          <w:pgSz w:w="11900" w:h="16838" w:orient="portrait"/>
          <w:cols w:equalWidth="0" w:num="1">
            <w:col w:w="11420"/>
          </w:cols>
          <w:pgMar w:left="240" w:top="280" w:right="239" w:bottom="1440" w:gutter="0" w:footer="0" w:header="0"/>
        </w:sectPr>
      </w:pPr>
    </w:p>
    <w:bookmarkStart w:id="68" w:name="page69"/>
    <w:bookmarkEnd w:id="68"/>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580" w:firstLine="648"/>
        <w:spacing w:after="0" w:line="328" w:lineRule="auto"/>
        <w:rPr>
          <w:sz w:val="20"/>
          <w:szCs w:val="20"/>
          <w:color w:val="auto"/>
        </w:rPr>
      </w:pPr>
      <w:r>
        <w:rPr>
          <w:rFonts w:ascii="Arial" w:cs="Arial" w:eastAsia="Arial" w:hAnsi="Arial"/>
          <w:sz w:val="19"/>
          <w:szCs w:val="19"/>
          <w:color w:val="auto"/>
        </w:rPr>
        <w:t>If you are in agreement with the foregoing, please sign the form of agreement on a counterpart of this Agreement and return it to the Company, whereupon this Agreement shall become a binding agreement between you and the Company.</w:t>
      </w: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Very truly yours,</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AMERICAN ASSETS TRUST, L.P.</w:t>
      </w:r>
    </w:p>
    <w:p>
      <w:pPr>
        <w:spacing w:after="0" w:line="368" w:lineRule="exact"/>
        <w:rPr>
          <w:sz w:val="20"/>
          <w:szCs w:val="20"/>
          <w:color w:val="auto"/>
        </w:rPr>
      </w:pPr>
    </w:p>
    <w:tbl>
      <w:tblPr>
        <w:tblLayout w:type="fixed"/>
        <w:tblInd w:w="4920" w:type="dxa"/>
        <w:tblCellMar>
          <w:top w:w="0" w:type="dxa"/>
          <w:left w:w="0" w:type="dxa"/>
          <w:bottom w:w="0" w:type="dxa"/>
          <w:right w:w="0" w:type="dxa"/>
        </w:tblCellMar>
      </w:tblP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32"/>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 John W. Chamberlain</w:t>
            </w:r>
          </w:p>
        </w:tc>
      </w:tr>
      <w:tr>
        <w:trPr>
          <w:trHeight w:val="280"/>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President and Chief Executive Officer</w:t>
            </w:r>
          </w:p>
        </w:tc>
      </w:tr>
      <w:tr>
        <w:trPr>
          <w:trHeight w:val="632"/>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 Robert F. Barton</w:t>
            </w:r>
          </w:p>
        </w:tc>
      </w:tr>
      <w:tr>
        <w:trPr>
          <w:trHeight w:val="280"/>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 and</w:t>
            </w:r>
          </w:p>
        </w:tc>
      </w:tr>
      <w:tr>
        <w:trPr>
          <w:trHeight w:val="297"/>
        </w:trPr>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w:t>
            </w:r>
          </w:p>
        </w:tc>
      </w:tr>
      <w:tr>
        <w:trPr>
          <w:trHeight w:val="621"/>
        </w:trPr>
        <w:tc>
          <w:tcPr>
            <w:tcW w:w="6460" w:type="dxa"/>
            <w:vAlign w:val="bottom"/>
            <w:gridSpan w:val="3"/>
          </w:tcPr>
          <w:p>
            <w:pPr>
              <w:spacing w:after="0"/>
              <w:rPr>
                <w:sz w:val="20"/>
                <w:szCs w:val="20"/>
                <w:color w:val="auto"/>
              </w:rPr>
            </w:pPr>
            <w:r>
              <w:rPr>
                <w:rFonts w:ascii="Arial" w:cs="Arial" w:eastAsia="Arial" w:hAnsi="Arial"/>
                <w:sz w:val="22"/>
                <w:szCs w:val="22"/>
                <w:color w:val="auto"/>
              </w:rPr>
              <w:t>AMERICAN ASSETS TRUST, INC.</w:t>
            </w:r>
          </w:p>
        </w:tc>
      </w:tr>
      <w:tr>
        <w:trPr>
          <w:trHeight w:val="632"/>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 John W. Chamberlain</w:t>
            </w:r>
          </w:p>
        </w:tc>
      </w:tr>
      <w:tr>
        <w:trPr>
          <w:trHeight w:val="280"/>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President and Chief Executive Officer</w:t>
            </w:r>
          </w:p>
        </w:tc>
      </w:tr>
      <w:tr>
        <w:trPr>
          <w:trHeight w:val="632"/>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 Robert F. Barton</w:t>
            </w:r>
          </w:p>
        </w:tc>
      </w:tr>
      <w:tr>
        <w:trPr>
          <w:trHeight w:val="280"/>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 and</w:t>
            </w:r>
          </w:p>
        </w:tc>
      </w:tr>
      <w:tr>
        <w:trPr>
          <w:trHeight w:val="297"/>
        </w:trPr>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56</w:t>
      </w:r>
      <w:r>
        <w:rPr>
          <w:rFonts w:ascii="MS PGothic" w:cs="MS PGothic" w:eastAsia="MS PGothic" w:hAnsi="MS PGothic"/>
          <w:sz w:val="22"/>
          <w:szCs w:val="22"/>
          <w:color w:val="auto"/>
        </w:rPr>
        <w:t>‑</w:t>
      </w:r>
    </w:p>
    <w:p>
      <w:pPr>
        <w:sectPr>
          <w:pgSz w:w="11900" w:h="16838" w:orient="portrait"/>
          <w:cols w:equalWidth="0" w:num="1">
            <w:col w:w="11380"/>
          </w:cols>
          <w:pgMar w:left="280" w:top="280" w:right="239" w:bottom="1440" w:gutter="0" w:footer="0" w:header="0"/>
        </w:sectPr>
      </w:pPr>
    </w:p>
    <w:bookmarkStart w:id="69" w:name="page70"/>
    <w:bookmarkEnd w:id="69"/>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TRANSAMERICA LIFE INSURANCE COMPANY</w:t>
      </w:r>
    </w:p>
    <w:p>
      <w:pPr>
        <w:spacing w:after="0" w:line="368" w:lineRule="exact"/>
        <w:rPr>
          <w:sz w:val="20"/>
          <w:szCs w:val="20"/>
          <w:color w:val="auto"/>
        </w:rPr>
      </w:pPr>
    </w:p>
    <w:p>
      <w:pPr>
        <w:ind w:left="5820" w:right="260" w:hanging="559"/>
        <w:spacing w:after="0" w:line="251" w:lineRule="auto"/>
        <w:tabs>
          <w:tab w:leader="none" w:pos="5800" w:val="left"/>
        </w:tabs>
        <w:rPr>
          <w:sz w:val="20"/>
          <w:szCs w:val="20"/>
          <w:color w:val="auto"/>
        </w:rPr>
      </w:pPr>
      <w:r>
        <w:rPr>
          <w:rFonts w:ascii="Arial" w:cs="Arial" w:eastAsia="Arial" w:hAnsi="Arial"/>
          <w:sz w:val="22"/>
          <w:szCs w:val="22"/>
          <w:color w:val="auto"/>
        </w:rPr>
        <w:t>By:</w:t>
        <w:tab/>
        <w:t>AEGON USA Investment Management, LLC, its investment manager</w:t>
      </w:r>
    </w:p>
    <w:p>
      <w:pPr>
        <w:spacing w:after="0" w:line="335"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AEGON USA Investment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STONEBRIDGE LIFE INSURANCE COMPANY</w:t>
      </w:r>
    </w:p>
    <w:p>
      <w:pPr>
        <w:spacing w:after="0" w:line="368" w:lineRule="exact"/>
        <w:rPr>
          <w:sz w:val="20"/>
          <w:szCs w:val="20"/>
          <w:color w:val="auto"/>
        </w:rPr>
      </w:pPr>
    </w:p>
    <w:p>
      <w:pPr>
        <w:ind w:left="5820" w:right="260" w:hanging="559"/>
        <w:spacing w:after="0" w:line="251" w:lineRule="auto"/>
        <w:tabs>
          <w:tab w:leader="none" w:pos="5800" w:val="left"/>
        </w:tabs>
        <w:rPr>
          <w:sz w:val="20"/>
          <w:szCs w:val="20"/>
          <w:color w:val="auto"/>
        </w:rPr>
      </w:pPr>
      <w:r>
        <w:rPr>
          <w:rFonts w:ascii="Arial" w:cs="Arial" w:eastAsia="Arial" w:hAnsi="Arial"/>
          <w:sz w:val="22"/>
          <w:szCs w:val="22"/>
          <w:color w:val="auto"/>
        </w:rPr>
        <w:t>By:</w:t>
        <w:tab/>
        <w:t>AEGON USA Investment Management, LLC, its investment manager</w:t>
      </w:r>
    </w:p>
    <w:p>
      <w:pPr>
        <w:spacing w:after="0" w:line="335"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AEGON USA Investment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TRANSAMERICA CASUALTY INSURANCE COMPANY</w:t>
      </w:r>
    </w:p>
    <w:p>
      <w:pPr>
        <w:spacing w:after="0" w:line="368" w:lineRule="exact"/>
        <w:rPr>
          <w:sz w:val="20"/>
          <w:szCs w:val="20"/>
          <w:color w:val="auto"/>
        </w:rPr>
      </w:pPr>
    </w:p>
    <w:p>
      <w:pPr>
        <w:ind w:left="5820" w:right="260" w:hanging="559"/>
        <w:spacing w:after="0" w:line="251" w:lineRule="auto"/>
        <w:tabs>
          <w:tab w:leader="none" w:pos="5800" w:val="left"/>
        </w:tabs>
        <w:rPr>
          <w:sz w:val="20"/>
          <w:szCs w:val="20"/>
          <w:color w:val="auto"/>
        </w:rPr>
      </w:pPr>
      <w:r>
        <w:rPr>
          <w:rFonts w:ascii="Arial" w:cs="Arial" w:eastAsia="Arial" w:hAnsi="Arial"/>
          <w:sz w:val="22"/>
          <w:szCs w:val="22"/>
          <w:color w:val="auto"/>
        </w:rPr>
        <w:t>By:</w:t>
        <w:tab/>
        <w:t>AEGON USA Investment Management, LLC, its investment manager</w:t>
      </w:r>
    </w:p>
    <w:p>
      <w:pPr>
        <w:spacing w:after="0" w:line="335"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AEGON USA Investment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57</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70" w:name="page71"/>
    <w:bookmarkEnd w:id="70"/>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TLIC OAKBROOK REINSURANCE INC.</w:t>
      </w:r>
    </w:p>
    <w:p>
      <w:pPr>
        <w:spacing w:after="0" w:line="368" w:lineRule="exact"/>
        <w:rPr>
          <w:sz w:val="20"/>
          <w:szCs w:val="20"/>
          <w:color w:val="auto"/>
        </w:rPr>
      </w:pPr>
    </w:p>
    <w:p>
      <w:pPr>
        <w:ind w:left="5820" w:right="260" w:hanging="559"/>
        <w:spacing w:after="0" w:line="251" w:lineRule="auto"/>
        <w:tabs>
          <w:tab w:leader="none" w:pos="5800" w:val="left"/>
        </w:tabs>
        <w:rPr>
          <w:sz w:val="20"/>
          <w:szCs w:val="20"/>
          <w:color w:val="auto"/>
        </w:rPr>
      </w:pPr>
      <w:r>
        <w:rPr>
          <w:rFonts w:ascii="Arial" w:cs="Arial" w:eastAsia="Arial" w:hAnsi="Arial"/>
          <w:sz w:val="22"/>
          <w:szCs w:val="22"/>
          <w:color w:val="auto"/>
        </w:rPr>
        <w:t>By:</w:t>
        <w:tab/>
        <w:t>AEGON USA Investment Management, LLC, its investment manager</w:t>
      </w:r>
    </w:p>
    <w:p>
      <w:pPr>
        <w:spacing w:after="0" w:line="335"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AEGON USA Investment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TRANSAMERICA LIFE (BERMUDA) LTD</w:t>
      </w:r>
    </w:p>
    <w:p>
      <w:pPr>
        <w:spacing w:after="0" w:line="368" w:lineRule="exact"/>
        <w:rPr>
          <w:sz w:val="20"/>
          <w:szCs w:val="20"/>
          <w:color w:val="auto"/>
        </w:rPr>
      </w:pPr>
    </w:p>
    <w:p>
      <w:pPr>
        <w:ind w:left="5820" w:right="260" w:hanging="559"/>
        <w:spacing w:after="0" w:line="251" w:lineRule="auto"/>
        <w:tabs>
          <w:tab w:leader="none" w:pos="5800" w:val="left"/>
        </w:tabs>
        <w:rPr>
          <w:sz w:val="20"/>
          <w:szCs w:val="20"/>
          <w:color w:val="auto"/>
        </w:rPr>
      </w:pPr>
      <w:r>
        <w:rPr>
          <w:rFonts w:ascii="Arial" w:cs="Arial" w:eastAsia="Arial" w:hAnsi="Arial"/>
          <w:sz w:val="22"/>
          <w:szCs w:val="22"/>
          <w:color w:val="auto"/>
        </w:rPr>
        <w:t>By:</w:t>
        <w:tab/>
        <w:t>AEGON USA Investment Management, LLC, its investment manager</w:t>
      </w:r>
    </w:p>
    <w:p>
      <w:pPr>
        <w:spacing w:after="0" w:line="335"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AEGON USA Investment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TRANSAMERICA PREMIER LIFE INSURANCE COMPANY</w:t>
      </w:r>
    </w:p>
    <w:p>
      <w:pPr>
        <w:spacing w:after="0" w:line="368" w:lineRule="exact"/>
        <w:rPr>
          <w:sz w:val="20"/>
          <w:szCs w:val="20"/>
          <w:color w:val="auto"/>
        </w:rPr>
      </w:pPr>
    </w:p>
    <w:p>
      <w:pPr>
        <w:ind w:left="5820" w:right="260" w:hanging="559"/>
        <w:spacing w:after="0" w:line="251" w:lineRule="auto"/>
        <w:tabs>
          <w:tab w:leader="none" w:pos="5800" w:val="left"/>
        </w:tabs>
        <w:rPr>
          <w:sz w:val="20"/>
          <w:szCs w:val="20"/>
          <w:color w:val="auto"/>
        </w:rPr>
      </w:pPr>
      <w:r>
        <w:rPr>
          <w:rFonts w:ascii="Arial" w:cs="Arial" w:eastAsia="Arial" w:hAnsi="Arial"/>
          <w:sz w:val="22"/>
          <w:szCs w:val="22"/>
          <w:color w:val="auto"/>
        </w:rPr>
        <w:t>By:</w:t>
        <w:tab/>
        <w:t>AEGON USA Investment Management, LLC, its investment manager</w:t>
      </w:r>
    </w:p>
    <w:p>
      <w:pPr>
        <w:spacing w:after="0" w:line="335"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AEGON USA Investment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58</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71" w:name="page72"/>
    <w:bookmarkEnd w:id="71"/>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AMERICAN FAMILY LIFE INSURANCE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David L. Voge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8"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David L. Voge</w:t>
      </w:r>
    </w:p>
    <w:p>
      <w:pPr>
        <w:spacing w:after="0" w:line="44"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Fixed Income Portfolio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59</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72" w:name="page73"/>
    <w:bookmarkEnd w:id="72"/>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ASSURITY LIFE INSURANCE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Victor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8"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Victor Weber</w:t>
      </w:r>
    </w:p>
    <w:p>
      <w:pPr>
        <w:spacing w:after="0" w:line="44"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Senior Director -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60</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73" w:name="page74"/>
    <w:bookmarkEnd w:id="73"/>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AXA EQUITABLE LIFE INSURANCE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AXA EQUITABLE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61</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74" w:name="page75"/>
    <w:bookmarkEnd w:id="74"/>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MASSACHUSETTS MUTUAL LIFE INSURANCE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Babson Capital Management LLC</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as Investment Adviser</w:t>
      </w:r>
    </w:p>
    <w:p>
      <w:pPr>
        <w:spacing w:after="0" w:line="350"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Babson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C.M. LIFE INSURANCE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Babson Capital Management LLC</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as Investment Adviser</w:t>
      </w:r>
    </w:p>
    <w:p>
      <w:pPr>
        <w:spacing w:after="0" w:line="350"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Babson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BANNER LIFE INSURANCE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Babson Capital Management LLC</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as Investment Adviser</w:t>
      </w:r>
    </w:p>
    <w:p>
      <w:pPr>
        <w:spacing w:after="0" w:line="350"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Babson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MASSMUTUAL ASIA LIMITED</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Babson Capital Management LLC</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as Investment Adviser</w:t>
      </w:r>
    </w:p>
    <w:p>
      <w:pPr>
        <w:spacing w:after="0" w:line="350"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Babson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62</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75" w:name="page76"/>
    <w:bookmarkEnd w:id="75"/>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1"/>
          <w:szCs w:val="21"/>
          <w:color w:val="auto"/>
        </w:rPr>
        <w:t>THE GUARDIAN LIFE INSURANCE COMPANY OF AMERICA</w:t>
      </w:r>
    </w:p>
    <w:p>
      <w:pPr>
        <w:spacing w:after="0" w:line="380"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Barry Scheinholtz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8"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Barry Scheinholtz</w:t>
      </w:r>
    </w:p>
    <w:p>
      <w:pPr>
        <w:spacing w:after="0" w:line="44"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Senior Director</w:t>
      </w:r>
    </w:p>
    <w:p>
      <w:pPr>
        <w:spacing w:after="0" w:line="36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THE GUARDIAN INSURANCE &amp; ANNUITY COMPANY, INC.</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Barry Scheinholtz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8"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Barry Scheinholtz</w:t>
      </w:r>
    </w:p>
    <w:p>
      <w:pPr>
        <w:spacing w:after="0" w:line="44"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Senior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63</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76" w:name="page77"/>
    <w:bookmarkEnd w:id="76"/>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METLIFE INSURANCE COMPANY OF CONNECTICUT</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Metropolitan Life Insurance Company,</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its Investment Manager</w:t>
      </w:r>
    </w:p>
    <w:p>
      <w:pPr>
        <w:spacing w:after="0" w:line="350"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METROPOLITAN TOWER LIFE INSURANCE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Metropolitan Life Insurance Company,</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its Investment Manager</w:t>
      </w:r>
    </w:p>
    <w:p>
      <w:pPr>
        <w:spacing w:after="0" w:line="350"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METROPOLITAN LIFE INSURANCE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Metropolitan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64</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77" w:name="page78"/>
    <w:bookmarkEnd w:id="77"/>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NATIONWIDE LIFE INSURANCE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NATIONWIDE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65</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78" w:name="page79"/>
    <w:bookmarkEnd w:id="78"/>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THE OHIO NATIONAL LIFE INSURANCE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Annette M. Teders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8"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Annette M. Teders</w:t>
      </w:r>
    </w:p>
    <w:p>
      <w:pPr>
        <w:spacing w:after="0" w:line="44"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36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OHIO NATIONAL LIFE ASSURANCE CORPORATION</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Annette M. Teders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8"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Annette M. Teders</w:t>
      </w:r>
    </w:p>
    <w:p>
      <w:pPr>
        <w:spacing w:after="0" w:line="44"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66</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79" w:name="page80"/>
    <w:bookmarkEnd w:id="79"/>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hereby accepted and agreed to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GROUP HEALTH OPTIONS, INC.</w:t>
      </w:r>
    </w:p>
    <w:p>
      <w:pPr>
        <w:spacing w:after="0" w:line="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PHYSICIANS INSURANCE A MUTUAL COMPANY</w:t>
      </w:r>
    </w:p>
    <w:p>
      <w:pPr>
        <w:spacing w:after="0" w:line="350"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Prime Advisors, Inc., its Attorney-in-Fact</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Scott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8"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Scott Sell</w:t>
      </w:r>
    </w:p>
    <w:p>
      <w:pPr>
        <w:spacing w:after="0" w:line="44" w:lineRule="exact"/>
        <w:rPr>
          <w:sz w:val="20"/>
          <w:szCs w:val="20"/>
          <w:color w:val="auto"/>
        </w:rPr>
      </w:pPr>
    </w:p>
    <w:p>
      <w:pPr>
        <w:ind w:left="582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67</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80" w:name="page81"/>
    <w:bookmarkEnd w:id="80"/>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USAA LIFE INSURANCE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USAA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UNITED SERVICES AUTOMOBILE ASSOCIATION</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UNITED SERVICES AUTOMOBILE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USAA CASUALTY INSURANCE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USAA CASUALTY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USAA GENERAL INDEMNITY COMPANY</w:t>
      </w:r>
    </w:p>
    <w:p>
      <w:pPr>
        <w:spacing w:after="0" w:line="368"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USAA GENERAL INDEMNITY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24765</wp:posOffset>
            </wp:positionV>
            <wp:extent cx="3542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68</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81" w:name="page82"/>
    <w:bookmarkEnd w:id="81"/>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19"/>
          <w:szCs w:val="19"/>
          <w:color w:val="auto"/>
        </w:rPr>
        <w:t>GARRISON PROPERTY &amp; CASUALTY INSURANCE COMPANY</w:t>
      </w:r>
    </w:p>
    <w:p>
      <w:pPr>
        <w:spacing w:after="0" w:line="200" w:lineRule="exact"/>
        <w:rPr>
          <w:sz w:val="20"/>
          <w:szCs w:val="20"/>
          <w:color w:val="auto"/>
        </w:rPr>
      </w:pPr>
    </w:p>
    <w:p>
      <w:pPr>
        <w:spacing w:after="0" w:line="203"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GARRISON PROPERTY &amp; CASUALTY INSURANCE</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13335</wp:posOffset>
            </wp:positionV>
            <wp:extent cx="3542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69</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82" w:name="page83"/>
    <w:bookmarkEnd w:id="82"/>
    <w:p>
      <w:pPr>
        <w:spacing w:after="0"/>
        <w:tabs>
          <w:tab w:leader="none" w:pos="9060" w:val="left"/>
        </w:tabs>
        <w:rPr>
          <w:sz w:val="20"/>
          <w:szCs w:val="20"/>
          <w:color w:val="auto"/>
        </w:rPr>
      </w:pPr>
      <w:r>
        <w:rPr>
          <w:rFonts w:ascii="Arial" w:cs="Arial" w:eastAsia="Arial" w:hAnsi="Arial"/>
          <w:sz w:val="22"/>
          <w:szCs w:val="22"/>
          <w:color w:val="auto"/>
        </w:rPr>
        <w:t>American Assets Trust, L.P.</w:t>
      </w:r>
      <w:r>
        <w:rPr>
          <w:sz w:val="20"/>
          <w:szCs w:val="20"/>
          <w:color w:val="auto"/>
        </w:rPr>
        <w:tab/>
      </w:r>
      <w:r>
        <w:rPr>
          <w:rFonts w:ascii="Arial" w:cs="Arial" w:eastAsia="Arial" w:hAnsi="Arial"/>
          <w:sz w:val="19"/>
          <w:szCs w:val="19"/>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AMERICO FINANCIAL LIFE &amp; ANNUITY INSURANCE</w:t>
      </w:r>
    </w:p>
    <w:p>
      <w:pPr>
        <w:spacing w:after="0" w:line="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COMPANY</w:t>
      </w:r>
    </w:p>
    <w:p>
      <w:pPr>
        <w:spacing w:after="0" w:line="350"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22"/>
          <w:szCs w:val="22"/>
          <w:color w:val="auto"/>
        </w:rPr>
        <w:t>By:</w:t>
        <w:tab/>
        <w:t>/s/ AMERICO FINANCIAL LIFE &amp; ANNUITY</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13335</wp:posOffset>
            </wp:positionV>
            <wp:extent cx="3542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76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70</w:t>
      </w:r>
      <w:r>
        <w:rPr>
          <w:rFonts w:ascii="MS PGothic" w:cs="MS PGothic" w:eastAsia="MS PGothic" w:hAnsi="MS PGothic"/>
          <w:sz w:val="22"/>
          <w:szCs w:val="22"/>
          <w:color w:val="auto"/>
        </w:rPr>
        <w:t>‑</w:t>
      </w:r>
    </w:p>
    <w:p>
      <w:pPr>
        <w:sectPr>
          <w:pgSz w:w="11900" w:h="16838" w:orient="portrait"/>
          <w:cols w:equalWidth="0" w:num="1">
            <w:col w:w="11360"/>
          </w:cols>
          <w:pgMar w:left="280" w:top="280"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b w:val="1"/>
          <w:bCs w:val="1"/>
          <w:color w:val="auto"/>
        </w:rPr>
        <w:t>DEFINED TERMS</w:t>
      </w:r>
    </w:p>
    <w:p>
      <w:pPr>
        <w:spacing w:after="0" w:line="2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As used herein, the following terms have the respective meanings set forth below or set forth in the Section hereof following such term:</w:t>
      </w:r>
    </w:p>
    <w:p>
      <w:pPr>
        <w:spacing w:after="0" w:line="195"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9"/>
          <w:szCs w:val="19"/>
          <w:b w:val="1"/>
          <w:bCs w:val="1"/>
          <w:color w:val="auto"/>
        </w:rPr>
        <w:t xml:space="preserve">“Affiliate” </w:t>
      </w:r>
      <w:r>
        <w:rPr>
          <w:rFonts w:ascii="Arial" w:cs="Arial" w:eastAsia="Arial" w:hAnsi="Arial"/>
          <w:sz w:val="19"/>
          <w:szCs w:val="19"/>
          <w:color w:val="auto"/>
        </w:rPr>
        <w:t>means, at any time, and with respect to any Person, any other Person that at such time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one or more intermediaries Controls, or is Controlled by, or is under common Control with the Person specified. Unless the context otherwise clearly requires, any reference to an “Affiliate” is a reference to an Affiliate of a Note Party.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“Affiliate Guaranty” </w:t>
      </w:r>
      <w:r>
        <w:rPr>
          <w:rFonts w:ascii="Arial" w:cs="Arial" w:eastAsia="Arial" w:hAnsi="Arial"/>
          <w:sz w:val="22"/>
          <w:szCs w:val="22"/>
          <w:color w:val="auto"/>
        </w:rPr>
        <w:t>is defined in Section 1.2.</w:t>
      </w:r>
    </w:p>
    <w:p>
      <w:pPr>
        <w:spacing w:after="0" w:line="2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means this Agreement, including all Schedules attached to this Agreement, as it may be amended, restated,</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supplemented or otherwise modified from time to time.</w:t>
      </w:r>
    </w:p>
    <w:p>
      <w:pPr>
        <w:spacing w:after="0" w:line="188"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“Aggregate Construction Costs Investment Amount” </w:t>
      </w:r>
      <w:r>
        <w:rPr>
          <w:rFonts w:ascii="Arial" w:cs="Arial" w:eastAsia="Arial" w:hAnsi="Arial"/>
          <w:sz w:val="19"/>
          <w:szCs w:val="19"/>
          <w:color w:val="auto"/>
        </w:rPr>
        <w:t>means, at any time, the excess of (a) the aggregate amount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Investments made on or after January 9, 2014 and on or prior to such time by the REIT and its Subsidiaries pursuant to Section 10.6(e) in respect of costs to construct Portfolio Properties under development (reduced by, in the case of any Portfolio Property that has become a Stabilized Portfolio Property after January 9, 2014 but on or prior to such time, the amount of any such Investments made in such Portfolio Property pursuant Section 10.6(e)),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with respect to any Portfolio Property under development in which an Investment was made by the REIT or a Subsidiary thereof after January 9, 2014 pursuant to Section 10.6(e) and such Portfolio Property (or all of the Equity Interests of the Subsidiary or Subsidiaries, as applicable, that own such Portfolio Property or the direct or indirect parent(s) thereof) is later Disposed of by the REIT or such Subsidiary prior to the Stabilization Date of such Portfolio Property to a Person that is not an Affiliate of the REIT, the lesser of (x) the Net Cash Proceeds received by the REIT or such Subsidiary in respect of such Disposition and (y) the aggregate amount of Investments made by the REIT or such Subsidiary after January 9, 2014 pursuant to Section 10.6(e) in such Portfolio Property.</w:t>
      </w:r>
    </w:p>
    <w:p>
      <w:pPr>
        <w:spacing w:after="0" w:line="177" w:lineRule="exact"/>
        <w:rPr>
          <w:sz w:val="20"/>
          <w:szCs w:val="20"/>
          <w:color w:val="auto"/>
        </w:rPr>
      </w:pPr>
    </w:p>
    <w:p>
      <w:pPr>
        <w:jc w:val="both"/>
        <w:ind w:firstLine="648"/>
        <w:spacing w:after="0" w:line="292" w:lineRule="exact"/>
        <w:rPr>
          <w:sz w:val="20"/>
          <w:szCs w:val="20"/>
          <w:color w:val="auto"/>
        </w:rPr>
      </w:pPr>
      <w:r>
        <w:rPr>
          <w:rFonts w:ascii="Arial" w:cs="Arial" w:eastAsia="Arial" w:hAnsi="Arial"/>
          <w:sz w:val="19"/>
          <w:szCs w:val="19"/>
          <w:b w:val="1"/>
          <w:bCs w:val="1"/>
          <w:color w:val="auto"/>
        </w:rPr>
        <w:t>“Aggregate Non</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Note Party Investment Amount” </w:t>
      </w:r>
      <w:r>
        <w:rPr>
          <w:rFonts w:ascii="Arial" w:cs="Arial" w:eastAsia="Arial" w:hAnsi="Arial"/>
          <w:sz w:val="19"/>
          <w:szCs w:val="19"/>
          <w:color w:val="auto"/>
        </w:rPr>
        <w:t>means, at any time, the excess of (a) the aggregate amount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Investments made on or after January 9, 2014 and on or prior to such time by the REIT and its Subsidiaries pursuant to Section 10.6(b)(iv) directly or indirectly in any Subsidiary that is not a Note Party (each, a </w:t>
      </w:r>
      <w:r>
        <w:rPr>
          <w:rFonts w:ascii="Arial" w:cs="Arial" w:eastAsia="Arial" w:hAnsi="Arial"/>
          <w:sz w:val="19"/>
          <w:szCs w:val="19"/>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Note Party Subsidiary”</w:t>
      </w:r>
      <w:r>
        <w:rPr>
          <w:rFonts w:ascii="Arial" w:cs="Arial" w:eastAsia="Arial" w:hAnsi="Arial"/>
          <w:sz w:val="19"/>
          <w:szCs w:val="19"/>
          <w:color w:val="auto"/>
        </w:rPr>
        <w:t xml:space="preserve">), </w:t>
      </w:r>
      <w:r>
        <w:rPr>
          <w:rFonts w:ascii="Arial" w:cs="Arial" w:eastAsia="Arial" w:hAnsi="Arial"/>
          <w:sz w:val="19"/>
          <w:szCs w:val="19"/>
          <w:i w:val="1"/>
          <w:iCs w:val="1"/>
          <w:color w:val="auto"/>
        </w:rPr>
        <w:t>minus</w:t>
      </w:r>
    </w:p>
    <w:p>
      <w:pPr>
        <w:spacing w:after="0" w:line="23" w:lineRule="exact"/>
        <w:rPr>
          <w:sz w:val="20"/>
          <w:szCs w:val="20"/>
          <w:color w:val="auto"/>
        </w:rPr>
      </w:pPr>
    </w:p>
    <w:p>
      <w:pPr>
        <w:jc w:val="both"/>
        <w:ind w:firstLine="8"/>
        <w:spacing w:after="0" w:line="292" w:lineRule="exact"/>
        <w:tabs>
          <w:tab w:leader="none" w:pos="308" w:val="left"/>
        </w:tabs>
        <w:numPr>
          <w:ilvl w:val="0"/>
          <w:numId w:val="76"/>
        </w:numPr>
        <w:rPr>
          <w:rFonts w:ascii="Arial" w:cs="Arial" w:eastAsia="Arial" w:hAnsi="Arial"/>
          <w:sz w:val="19"/>
          <w:szCs w:val="19"/>
          <w:color w:val="auto"/>
        </w:rPr>
      </w:pPr>
      <w:r>
        <w:rPr>
          <w:rFonts w:ascii="Arial" w:cs="Arial" w:eastAsia="Arial" w:hAnsi="Arial"/>
          <w:sz w:val="19"/>
          <w:szCs w:val="19"/>
          <w:color w:val="auto"/>
        </w:rPr>
        <w:t>with respect to each Non</w:t>
      </w:r>
      <w:r>
        <w:rPr>
          <w:rFonts w:ascii="MS PGothic" w:cs="MS PGothic" w:eastAsia="MS PGothic" w:hAnsi="MS PGothic"/>
          <w:sz w:val="19"/>
          <w:szCs w:val="19"/>
          <w:color w:val="auto"/>
        </w:rPr>
        <w:t>‑</w:t>
      </w:r>
      <w:r>
        <w:rPr>
          <w:rFonts w:ascii="Arial" w:cs="Arial" w:eastAsia="Arial" w:hAnsi="Arial"/>
          <w:sz w:val="19"/>
          <w:szCs w:val="19"/>
          <w:color w:val="auto"/>
        </w:rPr>
        <w:t>Note Party Subsidiary in which an Investment was made by the REIT or a Subsidiary thereof pursuant to Section 10.6(b)(iv) and which Non</w:t>
      </w:r>
      <w:r>
        <w:rPr>
          <w:rFonts w:ascii="MS PGothic" w:cs="MS PGothic" w:eastAsia="MS PGothic" w:hAnsi="MS PGothic"/>
          <w:sz w:val="19"/>
          <w:szCs w:val="19"/>
          <w:color w:val="auto"/>
        </w:rPr>
        <w:t>‑</w:t>
      </w:r>
      <w:r>
        <w:rPr>
          <w:rFonts w:ascii="Arial" w:cs="Arial" w:eastAsia="Arial" w:hAnsi="Arial"/>
          <w:sz w:val="19"/>
          <w:szCs w:val="19"/>
          <w:color w:val="auto"/>
        </w:rPr>
        <w:t>Note Party Subsidiary is subsequently Disposed of by the REIT or such Subsidiary to a Person that is not an Affiliate of the REIT, the lesser of (x) the Net Cash Proceeds received by the REIT or such Subsidiary in respect of the Disposition of such Non</w:t>
      </w:r>
      <w:r>
        <w:rPr>
          <w:rFonts w:ascii="MS PGothic" w:cs="MS PGothic" w:eastAsia="MS PGothic" w:hAnsi="MS PGothic"/>
          <w:sz w:val="19"/>
          <w:szCs w:val="19"/>
          <w:color w:val="auto"/>
        </w:rPr>
        <w:t>‑</w:t>
      </w:r>
      <w:r>
        <w:rPr>
          <w:rFonts w:ascii="Arial" w:cs="Arial" w:eastAsia="Arial" w:hAnsi="Arial"/>
          <w:sz w:val="19"/>
          <w:szCs w:val="19"/>
          <w:color w:val="auto"/>
        </w:rPr>
        <w:t>Note Party Subsidiary and (y) the amount of such Investment made by</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SCHEDULE A</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420"/>
          </w:cols>
          <w:pgMar w:left="240" w:top="679" w:right="239" w:bottom="1440" w:gutter="0" w:footer="0" w:header="0"/>
        </w:sectPr>
      </w:pPr>
    </w:p>
    <w:bookmarkStart w:id="84" w:name="page85"/>
    <w:bookmarkEnd w:id="84"/>
    <w:p>
      <w:pPr>
        <w:jc w:val="both"/>
        <w:spacing w:after="0" w:line="291" w:lineRule="exact"/>
        <w:rPr>
          <w:sz w:val="20"/>
          <w:szCs w:val="20"/>
          <w:color w:val="auto"/>
        </w:rPr>
      </w:pPr>
      <w:r>
        <w:rPr>
          <w:rFonts w:ascii="Arial" w:cs="Arial" w:eastAsia="Arial" w:hAnsi="Arial"/>
          <w:sz w:val="22"/>
          <w:szCs w:val="22"/>
          <w:color w:val="auto"/>
        </w:rPr>
        <w:t>the REIT or such Subsidiary after January 9, 2014 pursuant to Section 10.6(b)(iv) in such Non</w:t>
      </w:r>
      <w:r>
        <w:rPr>
          <w:rFonts w:ascii="MS PGothic" w:cs="MS PGothic" w:eastAsia="MS PGothic" w:hAnsi="MS PGothic"/>
          <w:sz w:val="22"/>
          <w:szCs w:val="22"/>
          <w:color w:val="auto"/>
        </w:rPr>
        <w:t>‑</w:t>
      </w:r>
      <w:r>
        <w:rPr>
          <w:rFonts w:ascii="Arial" w:cs="Arial" w:eastAsia="Arial" w:hAnsi="Arial"/>
          <w:sz w:val="22"/>
          <w:szCs w:val="22"/>
          <w:color w:val="auto"/>
        </w:rPr>
        <w:t>Note Party Subsidiary. Notwithstanding the foregoing, if at any time a Permitted Subsidiary Guarantor Release is consummated in accordance with Section 9.7(b), the Aggregate Non</w:t>
      </w:r>
      <w:r>
        <w:rPr>
          <w:rFonts w:ascii="MS PGothic" w:cs="MS PGothic" w:eastAsia="MS PGothic" w:hAnsi="MS PGothic"/>
          <w:sz w:val="22"/>
          <w:szCs w:val="22"/>
          <w:color w:val="auto"/>
        </w:rPr>
        <w:t>‑</w:t>
      </w:r>
      <w:r>
        <w:rPr>
          <w:rFonts w:ascii="Arial" w:cs="Arial" w:eastAsia="Arial" w:hAnsi="Arial"/>
          <w:sz w:val="22"/>
          <w:szCs w:val="22"/>
          <w:color w:val="auto"/>
        </w:rPr>
        <w:t>Note Party Investment Amount shall equal $0 at all times following the consummation of such Permitted Subsidiary Guarantor Release.</w:t>
      </w:r>
    </w:p>
    <w:p>
      <w:pPr>
        <w:spacing w:after="0" w:line="262" w:lineRule="exact"/>
        <w:rPr>
          <w:sz w:val="20"/>
          <w:szCs w:val="20"/>
          <w:color w:val="auto"/>
        </w:rPr>
      </w:pPr>
    </w:p>
    <w:p>
      <w:pPr>
        <w:jc w:val="both"/>
        <w:ind w:firstLine="648"/>
        <w:spacing w:after="0" w:line="295" w:lineRule="exact"/>
        <w:rPr>
          <w:sz w:val="20"/>
          <w:szCs w:val="20"/>
          <w:color w:val="auto"/>
        </w:rPr>
      </w:pPr>
      <w:r>
        <w:rPr>
          <w:rFonts w:ascii="Arial" w:cs="Arial" w:eastAsia="Arial" w:hAnsi="Arial"/>
          <w:sz w:val="21"/>
          <w:szCs w:val="21"/>
          <w:b w:val="1"/>
          <w:bCs w:val="1"/>
          <w:color w:val="auto"/>
        </w:rPr>
        <w:t xml:space="preserve">“Aggregate Real Estate Loan Investment Amount” </w:t>
      </w:r>
      <w:r>
        <w:rPr>
          <w:rFonts w:ascii="Arial" w:cs="Arial" w:eastAsia="Arial" w:hAnsi="Arial"/>
          <w:sz w:val="21"/>
          <w:szCs w:val="21"/>
          <w:color w:val="auto"/>
        </w:rPr>
        <w:t>means, at any time, the excess of (a) the aggregate amount of</w:t>
      </w:r>
      <w:r>
        <w:rPr>
          <w:rFonts w:ascii="Arial" w:cs="Arial" w:eastAsia="Arial" w:hAnsi="Arial"/>
          <w:sz w:val="21"/>
          <w:szCs w:val="21"/>
          <w:b w:val="1"/>
          <w:bCs w:val="1"/>
          <w:color w:val="auto"/>
        </w:rPr>
        <w:t xml:space="preserve"> </w:t>
      </w:r>
      <w:r>
        <w:rPr>
          <w:rFonts w:ascii="Arial" w:cs="Arial" w:eastAsia="Arial" w:hAnsi="Arial"/>
          <w:sz w:val="21"/>
          <w:szCs w:val="21"/>
          <w:color w:val="auto"/>
        </w:rPr>
        <w:t>Investments made on or after January 9, 2014 and on or prior to such time by the REIT and its Subsidiaries pursuant to Section 10.6(d) consisting of commercial mortgage loans and commercial real estate</w:t>
      </w:r>
      <w:r>
        <w:rPr>
          <w:rFonts w:ascii="MS PGothic" w:cs="MS PGothic" w:eastAsia="MS PGothic" w:hAnsi="MS PGothic"/>
          <w:sz w:val="21"/>
          <w:szCs w:val="21"/>
          <w:color w:val="auto"/>
        </w:rPr>
        <w:t>‑</w:t>
      </w:r>
      <w:r>
        <w:rPr>
          <w:rFonts w:ascii="Arial" w:cs="Arial" w:eastAsia="Arial" w:hAnsi="Arial"/>
          <w:sz w:val="21"/>
          <w:szCs w:val="21"/>
          <w:color w:val="auto"/>
        </w:rPr>
        <w:t xml:space="preserve">related mezzanine loans, </w:t>
      </w:r>
      <w:r>
        <w:rPr>
          <w:rFonts w:ascii="Arial" w:cs="Arial" w:eastAsia="Arial" w:hAnsi="Arial"/>
          <w:sz w:val="21"/>
          <w:szCs w:val="21"/>
          <w:i w:val="1"/>
          <w:iCs w:val="1"/>
          <w:color w:val="auto"/>
        </w:rPr>
        <w:t>minus</w:t>
      </w:r>
      <w:r>
        <w:rPr>
          <w:rFonts w:ascii="Arial" w:cs="Arial" w:eastAsia="Arial" w:hAnsi="Arial"/>
          <w:sz w:val="21"/>
          <w:szCs w:val="21"/>
          <w:color w:val="auto"/>
        </w:rPr>
        <w:t xml:space="preserve"> (b) with respect to each such Investment that was originated or acquired after January 9, 2014 by the REIT or a Subsidiary thereof and subsequently Disposed of by the REIT or such Subsidiary to a Person that is not an Affiliate of the REIT, the lesser of (x) the Net Cash Proceeds received by the REIT or such Subsidiary in respect of the Disposition of such Investment and (y) the amount of such Investment made by the REIT or such Subsidiary pursuant to Section 10.6(d) at the time such Investment was originated or acquired by the REIT or such Subsidiary.</w:t>
      </w:r>
    </w:p>
    <w:p>
      <w:pPr>
        <w:spacing w:after="0" w:line="262"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9"/>
          <w:szCs w:val="19"/>
          <w:b w:val="1"/>
          <w:bCs w:val="1"/>
          <w:color w:val="auto"/>
        </w:rPr>
        <w:t xml:space="preserve">“Aggregate Unconsolidated Affiliate Investment Amount” </w:t>
      </w:r>
      <w:r>
        <w:rPr>
          <w:rFonts w:ascii="Arial" w:cs="Arial" w:eastAsia="Arial" w:hAnsi="Arial"/>
          <w:sz w:val="19"/>
          <w:szCs w:val="19"/>
          <w:color w:val="auto"/>
        </w:rPr>
        <w:t>means, at any time, the excess of (a) the aggregate amount of</w:t>
      </w:r>
      <w:r>
        <w:rPr>
          <w:rFonts w:ascii="Arial" w:cs="Arial" w:eastAsia="Arial" w:hAnsi="Arial"/>
          <w:sz w:val="19"/>
          <w:szCs w:val="19"/>
          <w:b w:val="1"/>
          <w:bCs w:val="1"/>
          <w:color w:val="auto"/>
        </w:rPr>
        <w:t xml:space="preserve"> </w:t>
      </w:r>
      <w:r>
        <w:rPr>
          <w:rFonts w:ascii="Arial" w:cs="Arial" w:eastAsia="Arial" w:hAnsi="Arial"/>
          <w:sz w:val="19"/>
          <w:szCs w:val="19"/>
          <w:color w:val="auto"/>
        </w:rPr>
        <w:t>Investments made after January 9, 2014 and on or prior to such time by the REIT and its Subsidiaries pursuant to Section 10.6(b)</w:t>
      </w:r>
    </w:p>
    <w:p>
      <w:pPr>
        <w:spacing w:after="0" w:line="1" w:lineRule="exact"/>
        <w:rPr>
          <w:sz w:val="20"/>
          <w:szCs w:val="20"/>
          <w:color w:val="auto"/>
        </w:rPr>
      </w:pPr>
    </w:p>
    <w:p>
      <w:pPr>
        <w:jc w:val="both"/>
        <w:ind w:firstLine="8"/>
        <w:spacing w:after="0" w:line="285" w:lineRule="auto"/>
        <w:tabs>
          <w:tab w:leader="none" w:pos="407"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directly or indirectly in any Unconsolidated Affiliate,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with respect to each Unconsolidated Affiliate in which an Investment was made by the REIT or a Subsidiary thereof pursuant to Section 10.6(b)(iii) and which Unconsolidated Affiliate is subsequently Disposed of by the REIT or such Subsidiary to a Person that is not an Affiliate of the REIT, the lesser of (x) the Net Cash Proceeds received by the REIT or such Subsidiary in respect of the Disposition of such Unconsolidated Affiliate and (y) the amount of such Investment made by the REIT or such Subsidiary after January 9, 2014 pursuant to Section 10.6(b)(iii) in such Unconsolidated Affiliate.</w:t>
      </w:r>
    </w:p>
    <w:p>
      <w:pPr>
        <w:spacing w:after="0" w:line="21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b w:val="1"/>
          <w:bCs w:val="1"/>
          <w:color w:val="auto"/>
        </w:rPr>
        <w:t xml:space="preserve">“Aggregate Unimproved Land Holdings Investment Amount” </w:t>
      </w:r>
      <w:r>
        <w:rPr>
          <w:rFonts w:ascii="Arial" w:cs="Arial" w:eastAsia="Arial" w:hAnsi="Arial"/>
          <w:sz w:val="21"/>
          <w:szCs w:val="21"/>
          <w:color w:val="auto"/>
        </w:rPr>
        <w:t>means, at any time, the excess of (a) the aggregate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amount of Investments made after January 9, 2014 and on or prior to such time by the REIT and its Subsidiaries pursuant to Section 10.6(c) in respect of unimproved land holdings (excluding, for the avoidance of doubt, the amount of any such Investments made after January 9, 2014 constituting costs to construct Portfolio Properties under development that are included in the calculation of Aggregate Construction Costs Investment Amount) (reduced by, in the case of any unimproved land holding that has become a Stabilized Portfolio Property after January 9, 2014 but on or prior to such time, the amount of any such Investments made in such unimproved land holding pursuant to Section 10.6(c)), </w:t>
      </w:r>
      <w:r>
        <w:rPr>
          <w:rFonts w:ascii="Arial" w:cs="Arial" w:eastAsia="Arial" w:hAnsi="Arial"/>
          <w:sz w:val="21"/>
          <w:szCs w:val="21"/>
          <w:i w:val="1"/>
          <w:iCs w:val="1"/>
          <w:color w:val="auto"/>
        </w:rPr>
        <w:t>minus</w:t>
      </w:r>
      <w:r>
        <w:rPr>
          <w:rFonts w:ascii="Arial" w:cs="Arial" w:eastAsia="Arial" w:hAnsi="Arial"/>
          <w:sz w:val="21"/>
          <w:szCs w:val="21"/>
          <w:color w:val="auto"/>
        </w:rPr>
        <w:t xml:space="preserve"> (b) with respect to any unimproved land holding in which an Investment was made by the REIT or a Subsidiary thereof after January 9, 2014 pursuant to Section 10.6(c) and such unimproved land holding (or all of the Equity Interests</w:t>
      </w:r>
    </w:p>
    <w:p>
      <w:pPr>
        <w:spacing w:after="0" w:line="206"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85" w:name="page86"/>
    <w:bookmarkEnd w:id="85"/>
    <w:p>
      <w:pPr>
        <w:jc w:val="both"/>
        <w:spacing w:after="0" w:line="346" w:lineRule="auto"/>
        <w:rPr>
          <w:sz w:val="20"/>
          <w:szCs w:val="20"/>
          <w:color w:val="auto"/>
        </w:rPr>
      </w:pPr>
      <w:r>
        <w:rPr>
          <w:rFonts w:ascii="Arial" w:cs="Arial" w:eastAsia="Arial" w:hAnsi="Arial"/>
          <w:sz w:val="19"/>
          <w:szCs w:val="19"/>
          <w:color w:val="auto"/>
        </w:rPr>
        <w:t>of the Subsidiary or Subsidiaries as applicable, that own such unimproved land holding or the direct or indirect parent(s) thereof) is later Disposed of by the REIT or such Subsidiary to a Person that is not an Affiliate of the REIT, the lesser of (x) the Net Cash Proceeds received by the REIT or such Subsidiary in respect of such Disposition and (y) the aggregate amount of Investments made by the REIT or such Subsidiary after January 9, 2014 pursuant to Section 10.6(c) in such unimproved land holding.</w:t>
      </w:r>
    </w:p>
    <w:p>
      <w:pPr>
        <w:spacing w:after="0" w:line="166"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9"/>
          <w:szCs w:val="19"/>
          <w:b w:val="1"/>
          <w:bCs w:val="1"/>
          <w:color w:val="auto"/>
        </w:rPr>
        <w:t xml:space="preserve">“Annual Capital Expenditure Adjustment” </w:t>
      </w:r>
      <w:r>
        <w:rPr>
          <w:rFonts w:ascii="Arial" w:cs="Arial" w:eastAsia="Arial" w:hAnsi="Arial"/>
          <w:sz w:val="19"/>
          <w:szCs w:val="19"/>
          <w:color w:val="auto"/>
        </w:rPr>
        <w:t>means (i) in the case of a Portfolio Property consisting of a Hotel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an office property or a retail property (x) if such Portfolio Property has been owned, or ground leased pursuant to an Eligible Ground Lease, by one or more Subsidiaries of the Company for at least four consecutive full fiscal quarters for which financial statements have been provided to the holders pursuant to Section 7.1(a) or (b), 4% of the average of the quarterly gross revenues from such Portfolio Property as set forth in the financial statements for the then most recently ended four consecutive fiscal quarter period of the REIT delivered to the holders pursuant to Section 7.1(a) or (b) and (y) if such Portfolio Property has not been owned, or ground leased pursuant to an Eligible Ground Lease, by one or more Subsidiaries of the Company for at least four consecutive full fiscal quarters for which financial statements have been provided to the holders pursuant to Section 7.1(a) or (b), 4% of the average of the quarterly gross revenues from such Portfolio Property for the period consisting of all of the full fiscal quarters of the REIT commencing after the date such Portfolio Property was acquired (or after an Eligible Ground Lease is entered into with respect to such Portfolio Property, if applicable) by a Subsidiary of the Company for which financial statements have been provided to the holders pursuant to Section 7.1(a) or (b), and (ii) in the case of any Portfolio Property consisting of a residential property, an amount equal to $125 multiplied by the number of units in such residential property. For purposes of clause (i)(y) of this definition, in the case of any Portfolio Property consisting of a Portfolio Property that is owned, or ground leased pursuant to an Eligible Ground Lease, by one or more Subsidiaries of the Company for at least one full fiscal month of the REIT but less than one full fiscal quarter for which financial statements have been provided to the holders pursuant to Section 7.1(a) or (b), the Annual Capital Expenditure Adjustment for such Portfolio Property shall equal (x) if such Portfolio Property is owned, or ground leased pursuant to an Eligible Ground Lease, for less than two full fiscal months of the REIT, the Annual Capital Expenditure Adjustment that would apply to such Portfolio Property if calculated in accordance with the applicable clause of this of definition above (but for only the then most recently ended one fiscal month period of the REIT instead of for the period specified in such applicable clause above), multiplied by 3 and (y) if such Portfolio Property is owned, or ground leased pursuant to an Eligible Ground Lease, for at least two full fiscal months of the REIT, the Annual Capital Expenditure Adjustment that would apply to such Portfolio Property if calculated in accordance with the applicable clause of this of definition above (but for only the then most recently ended two fiscal month period of the REIT instead of for the period specified in such applicable clause above), multiplied by 3/2.</w:t>
      </w:r>
    </w:p>
    <w:p>
      <w:pPr>
        <w:spacing w:after="0" w:line="200" w:lineRule="exact"/>
        <w:rPr>
          <w:sz w:val="20"/>
          <w:szCs w:val="20"/>
          <w:color w:val="auto"/>
        </w:rPr>
      </w:pPr>
    </w:p>
    <w:p>
      <w:pPr>
        <w:spacing w:after="0" w:line="291"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86" w:name="page87"/>
    <w:bookmarkEnd w:id="86"/>
    <w:p>
      <w:pPr>
        <w:ind w:left="660"/>
        <w:spacing w:after="0" w:line="253" w:lineRule="exact"/>
        <w:rPr>
          <w:sz w:val="20"/>
          <w:szCs w:val="20"/>
          <w:color w:val="auto"/>
        </w:rPr>
      </w:pPr>
      <w:r>
        <w:rPr>
          <w:rFonts w:ascii="Arial" w:cs="Arial" w:eastAsia="Arial" w:hAnsi="Arial"/>
          <w:sz w:val="22"/>
          <w:szCs w:val="22"/>
          <w:b w:val="1"/>
          <w:bCs w:val="1"/>
          <w:color w:val="auto"/>
        </w:rPr>
        <w:t>“Anti</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Corruption Laws” </w:t>
      </w:r>
      <w:r>
        <w:rPr>
          <w:rFonts w:ascii="Arial" w:cs="Arial" w:eastAsia="Arial" w:hAnsi="Arial"/>
          <w:sz w:val="22"/>
          <w:szCs w:val="22"/>
          <w:color w:val="auto"/>
        </w:rPr>
        <w:t>is defined in Section 5.16(d)(1).</w:t>
      </w:r>
    </w:p>
    <w:p>
      <w:pPr>
        <w:spacing w:after="0" w:line="287"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b w:val="1"/>
          <w:bCs w:val="1"/>
          <w:color w:val="auto"/>
        </w:rPr>
        <w:t>“Anti</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Money Laundering Laws” </w:t>
      </w:r>
      <w:r>
        <w:rPr>
          <w:rFonts w:ascii="Arial" w:cs="Arial" w:eastAsia="Arial" w:hAnsi="Arial"/>
          <w:sz w:val="22"/>
          <w:szCs w:val="22"/>
          <w:color w:val="auto"/>
        </w:rPr>
        <w:t>is defined in Section 5.16(c).</w:t>
      </w:r>
    </w:p>
    <w:p>
      <w:pPr>
        <w:spacing w:after="0" w:line="2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b w:val="1"/>
          <w:bCs w:val="1"/>
          <w:color w:val="auto"/>
        </w:rPr>
        <w:t xml:space="preserve">“Applicable Capitalization Rate” </w:t>
      </w:r>
      <w:r>
        <w:rPr>
          <w:rFonts w:ascii="Arial" w:cs="Arial" w:eastAsia="Arial" w:hAnsi="Arial"/>
          <w:sz w:val="22"/>
          <w:szCs w:val="22"/>
          <w:color w:val="auto"/>
        </w:rPr>
        <w:t>shall have the meaning ascribed to such term in the Primary Credit Facility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and, if for any reason no Primary Credit Facility then exists or such term is no longer used therein, the Applicable Capitalization Rate most recently in effect. Notwithstanding the foregoing, in no event shall the “Applicable Capitalization Rate” applied under and pursuant to this Agreement at any time be 0.75% less than the related Applicable Capitalization Rate applied under and pursuant to the Primary Credit Facility as of the date hereof (i.e., in no event shall the Applicable Capitalization Rate for a Hotel Property be less than 7.00%).</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b w:val="1"/>
          <w:bCs w:val="1"/>
          <w:color w:val="auto"/>
        </w:rPr>
        <w:t xml:space="preserve">“Attributable Indebtedness” </w:t>
      </w:r>
      <w:r>
        <w:rPr>
          <w:rFonts w:ascii="Arial" w:cs="Arial" w:eastAsia="Arial" w:hAnsi="Arial"/>
          <w:sz w:val="22"/>
          <w:szCs w:val="22"/>
          <w:color w:val="auto"/>
        </w:rPr>
        <w:t>means, on any date, without duplication, (a) in respect of any Capitalized Lease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Blocked Person</w:t>
      </w:r>
      <w:r>
        <w:rPr>
          <w:rFonts w:ascii="Arial" w:cs="Arial" w:eastAsia="Arial" w:hAnsi="Arial"/>
          <w:sz w:val="22"/>
          <w:szCs w:val="22"/>
          <w:color w:val="auto"/>
        </w:rPr>
        <w:t>” is defined in Section 5.16(a).</w:t>
      </w:r>
    </w:p>
    <w:p>
      <w:pPr>
        <w:spacing w:after="0" w:line="2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means (a) for the purposes of Section 8.6 only, any day other than a Saturday, a Sunday or a day on which</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 banks in New York City are required or authorized to be closed, and (b) for the purposes of any other provision of this Agreement, any day other than a Saturday, a Sunday or a day on which commercial banks in New York, New York or San Francisco, California are required or authorized to be closed.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“Capitalized Leases” </w:t>
      </w:r>
      <w:r>
        <w:rPr>
          <w:rFonts w:ascii="Arial" w:cs="Arial" w:eastAsia="Arial" w:hAnsi="Arial"/>
          <w:sz w:val="19"/>
          <w:szCs w:val="19"/>
          <w:color w:val="auto"/>
        </w:rPr>
        <w:t>means all leases that have been or should be, in accordance with GAAP, recorded as capitalized</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leases.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“Cash Equivalents” </w:t>
      </w:r>
      <w:r>
        <w:rPr>
          <w:rFonts w:ascii="Arial" w:cs="Arial" w:eastAsia="Arial" w:hAnsi="Arial"/>
          <w:sz w:val="22"/>
          <w:szCs w:val="22"/>
          <w:color w:val="auto"/>
        </w:rPr>
        <w:t>means any of the following types of Investments:</w:t>
      </w:r>
    </w:p>
    <w:p>
      <w:pPr>
        <w:spacing w:after="0" w:line="293" w:lineRule="exact"/>
        <w:rPr>
          <w:sz w:val="20"/>
          <w:szCs w:val="20"/>
          <w:color w:val="auto"/>
        </w:rPr>
      </w:pPr>
    </w:p>
    <w:p>
      <w:pPr>
        <w:jc w:val="both"/>
        <w:ind w:left="660" w:firstLine="1617"/>
        <w:spacing w:after="0" w:line="357" w:lineRule="auto"/>
        <w:tabs>
          <w:tab w:leader="none" w:pos="2861"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full faith and credit of the United States of America is pledged in support thereof;</w:t>
      </w:r>
    </w:p>
    <w:p>
      <w:pPr>
        <w:spacing w:after="0" w:line="159" w:lineRule="exact"/>
        <w:rPr>
          <w:rFonts w:ascii="Arial" w:cs="Arial" w:eastAsia="Arial" w:hAnsi="Arial"/>
          <w:sz w:val="19"/>
          <w:szCs w:val="19"/>
          <w:color w:val="auto"/>
        </w:rPr>
      </w:pPr>
    </w:p>
    <w:p>
      <w:pPr>
        <w:ind w:left="660" w:firstLine="1617"/>
        <w:spacing w:after="0" w:line="302" w:lineRule="auto"/>
        <w:tabs>
          <w:tab w:leader="none" w:pos="2831" w:val="left"/>
        </w:tabs>
        <w:numPr>
          <w:ilvl w:val="0"/>
          <w:numId w:val="78"/>
        </w:numPr>
        <w:rPr>
          <w:rFonts w:ascii="Arial" w:cs="Arial" w:eastAsia="Arial" w:hAnsi="Arial"/>
          <w:sz w:val="22"/>
          <w:szCs w:val="22"/>
          <w:color w:val="auto"/>
        </w:rPr>
      </w:pPr>
      <w:r>
        <w:rPr>
          <w:rFonts w:ascii="Arial" w:cs="Arial" w:eastAsia="Arial" w:hAnsi="Arial"/>
          <w:sz w:val="22"/>
          <w:szCs w:val="22"/>
          <w:color w:val="auto"/>
        </w:rPr>
        <w:t>time deposits with, or insured certificates of deposit or bankers’ acceptances of, any commercial bank that (i)(A) is a lender under the Primary Credit Facility or (B) is</w:t>
      </w:r>
    </w:p>
    <w:p>
      <w:pPr>
        <w:spacing w:after="0" w:line="201"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4</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87" w:name="page88"/>
    <w:bookmarkEnd w:id="87"/>
    <w:p>
      <w:pPr>
        <w:jc w:val="both"/>
        <w:spacing w:after="0" w:line="341" w:lineRule="auto"/>
        <w:rPr>
          <w:sz w:val="20"/>
          <w:szCs w:val="20"/>
          <w:color w:val="auto"/>
        </w:rPr>
      </w:pPr>
      <w:r>
        <w:rPr>
          <w:rFonts w:ascii="Arial" w:cs="Arial" w:eastAsia="Arial" w:hAnsi="Arial"/>
          <w:sz w:val="19"/>
          <w:szCs w:val="19"/>
          <w:color w:val="auto"/>
        </w:rPr>
        <w:t>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90 days from the date of acquisition thereof;</w:t>
      </w:r>
    </w:p>
    <w:p>
      <w:pPr>
        <w:spacing w:after="0" w:line="177" w:lineRule="exact"/>
        <w:rPr>
          <w:sz w:val="20"/>
          <w:szCs w:val="20"/>
          <w:color w:val="auto"/>
        </w:rPr>
      </w:pPr>
    </w:p>
    <w:p>
      <w:pPr>
        <w:jc w:val="both"/>
        <w:ind w:firstLine="1617"/>
        <w:spacing w:after="0" w:line="357" w:lineRule="auto"/>
        <w:tabs>
          <w:tab w:leader="none" w:pos="2123" w:val="left"/>
        </w:tabs>
        <w:numPr>
          <w:ilvl w:val="0"/>
          <w:numId w:val="79"/>
        </w:numPr>
        <w:rPr>
          <w:rFonts w:ascii="Arial" w:cs="Arial" w:eastAsia="Arial" w:hAnsi="Arial"/>
          <w:sz w:val="19"/>
          <w:szCs w:val="19"/>
          <w:color w:val="auto"/>
        </w:rPr>
      </w:pPr>
      <w:r>
        <w:rPr>
          <w:rFonts w:ascii="Arial" w:cs="Arial" w:eastAsia="Arial" w:hAnsi="Arial"/>
          <w:sz w:val="19"/>
          <w:szCs w:val="19"/>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spacing w:after="0" w:line="159" w:lineRule="exact"/>
        <w:rPr>
          <w:rFonts w:ascii="Arial" w:cs="Arial" w:eastAsia="Arial" w:hAnsi="Arial"/>
          <w:sz w:val="19"/>
          <w:szCs w:val="19"/>
          <w:color w:val="auto"/>
        </w:rPr>
      </w:pPr>
    </w:p>
    <w:p>
      <w:pPr>
        <w:jc w:val="both"/>
        <w:ind w:firstLine="1617"/>
        <w:spacing w:after="0" w:line="287" w:lineRule="auto"/>
        <w:tabs>
          <w:tab w:leader="none" w:pos="2168"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Investments, classified in accordance with GAAP as current assets of the Company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and (c) of this definition; and</w:t>
      </w:r>
    </w:p>
    <w:p>
      <w:pPr>
        <w:spacing w:after="0" w:line="216" w:lineRule="exact"/>
        <w:rPr>
          <w:rFonts w:ascii="Arial" w:cs="Arial" w:eastAsia="Arial" w:hAnsi="Arial"/>
          <w:sz w:val="22"/>
          <w:szCs w:val="22"/>
          <w:color w:val="auto"/>
        </w:rPr>
      </w:pPr>
    </w:p>
    <w:p>
      <w:pPr>
        <w:jc w:val="both"/>
        <w:ind w:firstLine="1617"/>
        <w:spacing w:after="0" w:line="288" w:lineRule="auto"/>
        <w:tabs>
          <w:tab w:leader="none" w:pos="2124"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mortgage backed securities that are issued by the Government National Mortgage Association and fully guaranteed by the United States of America having maturities of not more than 30 years from the date of acquisition thereof;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full faith and credit of the United States of America is pledged in support thereof (</w:t>
      </w:r>
      <w:r>
        <w:rPr>
          <w:rFonts w:ascii="Arial" w:cs="Arial" w:eastAsia="Arial" w:hAnsi="Arial"/>
          <w:sz w:val="22"/>
          <w:szCs w:val="22"/>
          <w:b w:val="1"/>
          <w:bCs w:val="1"/>
          <w:color w:val="auto"/>
        </w:rPr>
        <w:t>“GNMA</w:t>
      </w:r>
      <w:r>
        <w:rPr>
          <w:rFonts w:ascii="Arial" w:cs="Arial" w:eastAsia="Arial" w:hAnsi="Arial"/>
          <w:sz w:val="22"/>
          <w:szCs w:val="22"/>
          <w:color w:val="auto"/>
        </w:rPr>
        <w:t xml:space="preserve"> </w:t>
      </w:r>
      <w:r>
        <w:rPr>
          <w:rFonts w:ascii="Arial" w:cs="Arial" w:eastAsia="Arial" w:hAnsi="Arial"/>
          <w:sz w:val="22"/>
          <w:szCs w:val="22"/>
          <w:b w:val="1"/>
          <w:bCs w:val="1"/>
          <w:color w:val="auto"/>
        </w:rPr>
        <w:t>Securities”</w:t>
      </w:r>
      <w:r>
        <w:rPr>
          <w:rFonts w:ascii="Arial" w:cs="Arial" w:eastAsia="Arial" w:hAnsi="Arial"/>
          <w:sz w:val="22"/>
          <w:szCs w:val="22"/>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“CFC” </w:t>
      </w:r>
      <w:r>
        <w:rPr>
          <w:rFonts w:ascii="Arial" w:cs="Arial" w:eastAsia="Arial" w:hAnsi="Arial"/>
          <w:sz w:val="22"/>
          <w:szCs w:val="22"/>
          <w:color w:val="auto"/>
        </w:rPr>
        <w:t>means a Person that is a controlled foreign corporation under Section 957 of the Code.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means an event or series of events by which:</w:t>
      </w:r>
    </w:p>
    <w:p>
      <w:pPr>
        <w:spacing w:after="0" w:line="293" w:lineRule="exact"/>
        <w:rPr>
          <w:sz w:val="20"/>
          <w:szCs w:val="20"/>
          <w:color w:val="auto"/>
        </w:rPr>
      </w:pPr>
    </w:p>
    <w:p>
      <w:pPr>
        <w:jc w:val="both"/>
        <w:ind w:firstLine="1617"/>
        <w:spacing w:after="0" w:line="285" w:lineRule="auto"/>
        <w:tabs>
          <w:tab w:leader="none" w:pos="2201"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the Permitted Holders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22"/>
          <w:szCs w:val="22"/>
          <w:i w:val="1"/>
          <w:iCs w:val="1"/>
          <w:color w:val="auto"/>
        </w:rPr>
        <w:t>“option</w:t>
      </w:r>
      <w:r>
        <w:rPr>
          <w:rFonts w:ascii="Arial" w:cs="Arial" w:eastAsia="Arial" w:hAnsi="Arial"/>
          <w:sz w:val="22"/>
          <w:szCs w:val="22"/>
          <w:color w:val="auto"/>
        </w:rPr>
        <w:t xml:space="preserve"> </w:t>
      </w:r>
      <w:r>
        <w:rPr>
          <w:rFonts w:ascii="Arial" w:cs="Arial" w:eastAsia="Arial" w:hAnsi="Arial"/>
          <w:sz w:val="22"/>
          <w:szCs w:val="22"/>
          <w:i w:val="1"/>
          <w:iCs w:val="1"/>
          <w:color w:val="auto"/>
        </w:rPr>
        <w:t>right”</w:t>
      </w:r>
      <w:r>
        <w:rPr>
          <w:rFonts w:ascii="Arial" w:cs="Arial" w:eastAsia="Arial" w:hAnsi="Arial"/>
          <w:sz w:val="22"/>
          <w:szCs w:val="22"/>
          <w:color w:val="auto"/>
        </w:rPr>
        <w:t>)),</w:t>
      </w:r>
    </w:p>
    <w:p>
      <w:pPr>
        <w:spacing w:after="0" w:line="220" w:lineRule="exact"/>
        <w:rPr>
          <w:sz w:val="20"/>
          <w:szCs w:val="20"/>
          <w:color w:val="auto"/>
        </w:rPr>
      </w:pPr>
    </w:p>
    <w:p>
      <w:pPr>
        <w:ind w:left="70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5</w:t>
      </w:r>
      <w:r>
        <w:rPr>
          <w:rFonts w:ascii="MS PGothic" w:cs="MS PGothic" w:eastAsia="MS PGothic" w:hAnsi="MS PGothic"/>
          <w:sz w:val="22"/>
          <w:szCs w:val="22"/>
          <w:color w:val="auto"/>
        </w:rPr>
        <w:t>‑</w:t>
      </w:r>
    </w:p>
    <w:p>
      <w:pPr>
        <w:sectPr>
          <w:pgSz w:w="11900" w:h="16838" w:orient="portrait"/>
          <w:cols w:equalWidth="0" w:num="1">
            <w:col w:w="10760"/>
          </w:cols>
          <w:pgMar w:left="900" w:top="928" w:right="239" w:bottom="1440" w:gutter="0" w:footer="0" w:header="0"/>
        </w:sectPr>
      </w:pPr>
    </w:p>
    <w:bookmarkStart w:id="88" w:name="page89"/>
    <w:bookmarkEnd w:id="88"/>
    <w:p>
      <w:pPr>
        <w:jc w:val="both"/>
        <w:ind w:left="660"/>
        <w:spacing w:after="0" w:line="292" w:lineRule="auto"/>
        <w:rPr>
          <w:sz w:val="20"/>
          <w:szCs w:val="20"/>
          <w:color w:val="auto"/>
        </w:rPr>
      </w:pPr>
      <w:r>
        <w:rPr>
          <w:rFonts w:ascii="Arial" w:cs="Arial" w:eastAsia="Arial" w:hAnsi="Arial"/>
          <w:sz w:val="22"/>
          <w:szCs w:val="22"/>
          <w:color w:val="auto"/>
        </w:rPr>
        <w:t>directly or indirectly, of 35% or more of the equity securities of the REIT entitled to vote for members of the board of directors or equivalent governing body of the REIT on a fully diluted basis (and taking into account all such securities that such person or group has the right to acquire pursuant to any option right);</w:t>
      </w:r>
    </w:p>
    <w:p>
      <w:pPr>
        <w:spacing w:after="0" w:line="211" w:lineRule="exact"/>
        <w:rPr>
          <w:sz w:val="20"/>
          <w:szCs w:val="20"/>
          <w:color w:val="auto"/>
        </w:rPr>
      </w:pPr>
    </w:p>
    <w:p>
      <w:pPr>
        <w:jc w:val="both"/>
        <w:ind w:left="660" w:firstLine="1617"/>
        <w:spacing w:after="0" w:line="332" w:lineRule="auto"/>
        <w:tabs>
          <w:tab w:leader="none" w:pos="2767" w:val="left"/>
        </w:tabs>
        <w:numPr>
          <w:ilvl w:val="0"/>
          <w:numId w:val="81"/>
        </w:numPr>
        <w:rPr>
          <w:rFonts w:ascii="Arial" w:cs="Arial" w:eastAsia="Arial" w:hAnsi="Arial"/>
          <w:sz w:val="19"/>
          <w:szCs w:val="19"/>
          <w:color w:val="auto"/>
        </w:rPr>
      </w:pPr>
      <w:r>
        <w:rPr>
          <w:rFonts w:ascii="Arial" w:cs="Arial" w:eastAsia="Arial" w:hAnsi="Arial"/>
          <w:sz w:val="19"/>
          <w:szCs w:val="19"/>
          <w:color w:val="auto"/>
        </w:rPr>
        <w:t>during any period of 12 consecutive months, a majority of the members of the board of directors or other equivalent governing body of the REIT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(excluding, in the case of both clause (ii) and clause (iii),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of directors); or</w:t>
      </w:r>
    </w:p>
    <w:p>
      <w:pPr>
        <w:spacing w:after="0" w:line="186" w:lineRule="exact"/>
        <w:rPr>
          <w:rFonts w:ascii="Arial" w:cs="Arial" w:eastAsia="Arial" w:hAnsi="Arial"/>
          <w:sz w:val="19"/>
          <w:szCs w:val="19"/>
          <w:color w:val="auto"/>
        </w:rPr>
      </w:pPr>
    </w:p>
    <w:p>
      <w:pPr>
        <w:jc w:val="both"/>
        <w:ind w:left="660" w:firstLine="1617"/>
        <w:spacing w:after="0" w:line="300" w:lineRule="auto"/>
        <w:tabs>
          <w:tab w:leader="none" w:pos="2867" w:val="left"/>
        </w:tabs>
        <w:numPr>
          <w:ilvl w:val="0"/>
          <w:numId w:val="81"/>
        </w:numPr>
        <w:rPr>
          <w:rFonts w:ascii="Arial" w:cs="Arial" w:eastAsia="Arial" w:hAnsi="Arial"/>
          <w:sz w:val="21"/>
          <w:szCs w:val="21"/>
          <w:color w:val="auto"/>
        </w:rPr>
      </w:pPr>
      <w:r>
        <w:rPr>
          <w:rFonts w:ascii="Arial" w:cs="Arial" w:eastAsia="Arial" w:hAnsi="Arial"/>
          <w:sz w:val="21"/>
          <w:szCs w:val="21"/>
          <w:color w:val="auto"/>
        </w:rPr>
        <w:t>(i) the REIT shall cease to be the sole general partner of the Company or shall cease to own, directly, (x) 100% of the general partnership interests of the Company and (y) Equity Interests of the Company representing a majority of the total economic interests of the Equity Interests of the Company, in each case free and clear of all Liens (other than Permitted Judgment Liens and Liens permitted under Section 10.4(a) and (b)) or (ii) any holder of a limited partnership interest in the Company is provided with or obtains voting rights with respect to such limited partnership interest that deprive the REIT, in its capacity as general partner of the Company, of its right to manage the Company in the ordinary course of business and consistent with past practice).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“CISADA” </w:t>
      </w:r>
      <w:r>
        <w:rPr>
          <w:rFonts w:ascii="Arial" w:cs="Arial" w:eastAsia="Arial" w:hAnsi="Arial"/>
          <w:sz w:val="22"/>
          <w:szCs w:val="22"/>
          <w:color w:val="auto"/>
        </w:rPr>
        <w:t>means the Comprehensive Iran Sanctions, Accountability and Divestment Act.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“Closing” </w:t>
      </w:r>
      <w:r>
        <w:rPr>
          <w:rFonts w:ascii="Arial" w:cs="Arial" w:eastAsia="Arial" w:hAnsi="Arial"/>
          <w:sz w:val="22"/>
          <w:szCs w:val="22"/>
          <w:color w:val="auto"/>
        </w:rPr>
        <w:t>and</w:t>
      </w:r>
      <w:r>
        <w:rPr>
          <w:rFonts w:ascii="Arial" w:cs="Arial" w:eastAsia="Arial" w:hAnsi="Arial"/>
          <w:sz w:val="22"/>
          <w:szCs w:val="22"/>
          <w:b w:val="1"/>
          <w:bCs w:val="1"/>
          <w:color w:val="auto"/>
        </w:rPr>
        <w:t xml:space="preserve"> “Closings” </w:t>
      </w:r>
      <w:r>
        <w:rPr>
          <w:rFonts w:ascii="Arial" w:cs="Arial" w:eastAsia="Arial" w:hAnsi="Arial"/>
          <w:sz w:val="22"/>
          <w:szCs w:val="22"/>
          <w:color w:val="auto"/>
        </w:rPr>
        <w:t>are defined in Section 3.</w:t>
      </w:r>
    </w:p>
    <w:p>
      <w:pPr>
        <w:spacing w:after="0" w:line="287" w:lineRule="exact"/>
        <w:rPr>
          <w:sz w:val="20"/>
          <w:szCs w:val="20"/>
          <w:color w:val="auto"/>
        </w:rPr>
      </w:pPr>
    </w:p>
    <w:p>
      <w:pPr>
        <w:ind w:right="20" w:firstLine="648"/>
        <w:spacing w:after="0" w:line="308" w:lineRule="auto"/>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Internal Revenue Code of 1986, as amended from time to time, and the rules and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 from time to time.</w:t>
      </w:r>
    </w:p>
    <w:p>
      <w:pPr>
        <w:spacing w:after="0" w:line="188" w:lineRule="exact"/>
        <w:rPr>
          <w:sz w:val="20"/>
          <w:szCs w:val="20"/>
          <w:color w:val="auto"/>
        </w:rPr>
      </w:pPr>
    </w:p>
    <w:p>
      <w:pPr>
        <w:ind w:right="20" w:firstLine="648"/>
        <w:spacing w:after="0" w:line="308" w:lineRule="auto"/>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American Assets Trust, L.P., a Maryland limited partnership or any successor that becomes such in the</w:t>
      </w:r>
      <w:r>
        <w:rPr>
          <w:rFonts w:ascii="Arial" w:cs="Arial" w:eastAsia="Arial" w:hAnsi="Arial"/>
          <w:sz w:val="22"/>
          <w:szCs w:val="22"/>
          <w:b w:val="1"/>
          <w:bCs w:val="1"/>
          <w:color w:val="auto"/>
        </w:rPr>
        <w:t xml:space="preserve"> </w:t>
      </w:r>
      <w:r>
        <w:rPr>
          <w:rFonts w:ascii="Arial" w:cs="Arial" w:eastAsia="Arial" w:hAnsi="Arial"/>
          <w:sz w:val="22"/>
          <w:szCs w:val="22"/>
          <w:color w:val="auto"/>
        </w:rPr>
        <w:t>manner prescribed in Section 10.7.</w:t>
      </w:r>
    </w:p>
    <w:p>
      <w:pPr>
        <w:spacing w:after="0" w:line="194"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6</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22"/>
          <w:szCs w:val="22"/>
          <w:b w:val="1"/>
          <w:bCs w:val="1"/>
          <w:color w:val="auto"/>
        </w:rPr>
        <w:t xml:space="preserve">“Compliance Certificate” </w:t>
      </w:r>
      <w:r>
        <w:rPr>
          <w:rFonts w:ascii="Arial" w:cs="Arial" w:eastAsia="Arial" w:hAnsi="Arial"/>
          <w:sz w:val="22"/>
          <w:szCs w:val="22"/>
          <w:color w:val="auto"/>
        </w:rPr>
        <w:t>means a certificate substantially in the form of Schedule 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“Confidential Information” </w:t>
      </w:r>
      <w:r>
        <w:rPr>
          <w:rFonts w:ascii="Arial" w:cs="Arial" w:eastAsia="Arial" w:hAnsi="Arial"/>
          <w:sz w:val="22"/>
          <w:szCs w:val="22"/>
          <w:color w:val="auto"/>
        </w:rPr>
        <w:t>is defined in Section 20.</w:t>
      </w:r>
    </w:p>
    <w:p>
      <w:pPr>
        <w:spacing w:after="0" w:line="28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b w:val="1"/>
          <w:bCs w:val="1"/>
          <w:color w:val="auto"/>
        </w:rPr>
        <w:t xml:space="preserve">“Consolidated EBITDA” </w:t>
      </w:r>
      <w:r>
        <w:rPr>
          <w:rFonts w:ascii="Arial" w:cs="Arial" w:eastAsia="Arial" w:hAnsi="Arial"/>
          <w:sz w:val="19"/>
          <w:szCs w:val="19"/>
          <w:color w:val="auto"/>
        </w:rPr>
        <w:t>means, for any period, without duplication, an amount equal to Consolidated Net Income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such period (a)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following to the extent deducted in calculating such Consolidated Net Income: (i) Consolidated Interest Expense (plus, to the extent not already included in such Consolidated Interest Expense, amortization of deferred financing costs),</w:t>
      </w:r>
    </w:p>
    <w:p>
      <w:pPr>
        <w:spacing w:after="0" w:line="2" w:lineRule="exact"/>
        <w:rPr>
          <w:sz w:val="20"/>
          <w:szCs w:val="20"/>
          <w:color w:val="auto"/>
        </w:rPr>
      </w:pPr>
    </w:p>
    <w:p>
      <w:pPr>
        <w:jc w:val="both"/>
        <w:ind w:firstLine="8"/>
        <w:spacing w:after="0" w:line="301" w:lineRule="exact"/>
        <w:tabs>
          <w:tab w:leader="none" w:pos="335"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provision for federal, state, local and foreign income taxes of the Consolidated Group (including the Consolidated Group Pro Rata Share of the provision for Federal, state, local and foreign incomes taxes of each Unconsolidated Affiliate), (iii) non</w:t>
      </w:r>
      <w:r>
        <w:rPr>
          <w:rFonts w:ascii="MS PGothic" w:cs="MS PGothic" w:eastAsia="MS PGothic" w:hAnsi="MS PGothic"/>
          <w:sz w:val="19"/>
          <w:szCs w:val="19"/>
          <w:color w:val="auto"/>
        </w:rPr>
        <w:t>‑</w:t>
      </w:r>
      <w:r>
        <w:rPr>
          <w:rFonts w:ascii="Arial" w:cs="Arial" w:eastAsia="Arial" w:hAnsi="Arial"/>
          <w:sz w:val="19"/>
          <w:szCs w:val="19"/>
          <w:color w:val="auto"/>
        </w:rPr>
        <w:t>cash charges of the Consolidated Group (excluding any non</w:t>
      </w:r>
      <w:r>
        <w:rPr>
          <w:rFonts w:ascii="MS PGothic" w:cs="MS PGothic" w:eastAsia="MS PGothic" w:hAnsi="MS PGothic"/>
          <w:sz w:val="19"/>
          <w:szCs w:val="19"/>
          <w:color w:val="auto"/>
        </w:rPr>
        <w:t>‑</w:t>
      </w:r>
      <w:r>
        <w:rPr>
          <w:rFonts w:ascii="Arial" w:cs="Arial" w:eastAsia="Arial" w:hAnsi="Arial"/>
          <w:sz w:val="19"/>
          <w:szCs w:val="19"/>
          <w:color w:val="auto"/>
        </w:rPr>
        <w:t>cash charge that results in an accrual of a reserve for a cash charge in any future period), (iv) the Consolidated Group Pro Rata Share of non-cash charges of Unconsolidated Affiliates (excluding any non</w:t>
      </w:r>
      <w:r>
        <w:rPr>
          <w:rFonts w:ascii="MS PGothic" w:cs="MS PGothic" w:eastAsia="MS PGothic" w:hAnsi="MS PGothic"/>
          <w:sz w:val="19"/>
          <w:szCs w:val="19"/>
          <w:color w:val="auto"/>
        </w:rPr>
        <w:t>‑</w:t>
      </w:r>
      <w:r>
        <w:rPr>
          <w:rFonts w:ascii="Arial" w:cs="Arial" w:eastAsia="Arial" w:hAnsi="Arial"/>
          <w:sz w:val="19"/>
          <w:szCs w:val="19"/>
          <w:color w:val="auto"/>
        </w:rPr>
        <w:t xml:space="preserve">cash charge that results in an accrual of a reserve for a cash charge in any future period), (v) acquisition closing costs of the Consolidated Group that were capitalized prior to FAS 141-R reducing such Consolidated Net Income (including the Consolidated Group Pro Rata Share of acquisition closing costs of Unconsolidated Affiliates that were capitalized prior to FAS 141-R reducing such Consolidated Net Income), (vi) depreciation and amortization expense of the Consolidated Group (including the Consolidated Group Pro Rata Share of depreciation and amortization expense of each Unconsolidated Affiliate) and (vii) one-time costs and expenses relating to issuance of the Notes pursuant to this Agreement and the transactions relating thereto, to the extent such fees and expenses are incurred on or prior to the date that is ninety days following the Closing and </w:t>
      </w:r>
      <w:r>
        <w:rPr>
          <w:rFonts w:ascii="Arial" w:cs="Arial" w:eastAsia="Arial" w:hAnsi="Arial"/>
          <w:sz w:val="19"/>
          <w:szCs w:val="19"/>
          <w:i w:val="1"/>
          <w:iCs w:val="1"/>
          <w:color w:val="auto"/>
        </w:rPr>
        <w:t>minus</w:t>
      </w:r>
      <w:r>
        <w:rPr>
          <w:rFonts w:ascii="Arial" w:cs="Arial" w:eastAsia="Arial" w:hAnsi="Arial"/>
          <w:sz w:val="19"/>
          <w:szCs w:val="19"/>
          <w:color w:val="auto"/>
        </w:rPr>
        <w:t xml:space="preserve"> (b)(i) non-cash items of the Consolidated Group increasing such Consolidated Net Income (other than the reversal of any accrual of a reserve referred to in the parenthetical in clause (a) (iii) of this definition, except to the extent such reversal results from a cash payment) and (ii) the Consolidated Group Pro Rata Share of non-cash items of Unconsolidated Affiliates increasing such Consolidated Net Income (other than the reversal of any accrual of a reserve referred to in the parenthetical in clause (a)(iv) of this definition, except to the extent such reversal results from a cash payment).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“Consolidated Fixed Charge Coverage Ratio” </w:t>
      </w:r>
      <w:r>
        <w:rPr>
          <w:rFonts w:ascii="Arial" w:cs="Arial" w:eastAsia="Arial" w:hAnsi="Arial"/>
          <w:sz w:val="19"/>
          <w:szCs w:val="19"/>
          <w:color w:val="auto"/>
        </w:rPr>
        <w:t>means the ratio as of the last day of any fiscal quarter of the REIT of</w:t>
      </w:r>
    </w:p>
    <w:p>
      <w:pPr>
        <w:spacing w:after="0" w:line="85" w:lineRule="exact"/>
        <w:rPr>
          <w:sz w:val="20"/>
          <w:szCs w:val="20"/>
          <w:color w:val="auto"/>
        </w:rPr>
      </w:pPr>
    </w:p>
    <w:p>
      <w:pPr>
        <w:ind w:firstLine="8"/>
        <w:spacing w:after="0" w:line="302" w:lineRule="auto"/>
        <w:tabs>
          <w:tab w:leader="none" w:pos="262" w:val="left"/>
        </w:tabs>
        <w:numPr>
          <w:ilvl w:val="0"/>
          <w:numId w:val="83"/>
        </w:numPr>
        <w:rPr>
          <w:rFonts w:ascii="Arial" w:cs="Arial" w:eastAsia="Arial" w:hAnsi="Arial"/>
          <w:sz w:val="22"/>
          <w:szCs w:val="22"/>
          <w:color w:val="auto"/>
        </w:rPr>
      </w:pPr>
      <w:r>
        <w:rPr>
          <w:rFonts w:ascii="Arial" w:cs="Arial" w:eastAsia="Arial" w:hAnsi="Arial"/>
          <w:sz w:val="22"/>
          <w:szCs w:val="22"/>
          <w:color w:val="auto"/>
        </w:rPr>
        <w:t>Consolidated EBITDA for the four consecutive fiscal quarter period of the REIT then ending to (ii) Consolidated Fixed Charges for such four consecutive fiscal quarter period.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“Consolidated Fixed Charges” </w:t>
      </w:r>
      <w:r>
        <w:rPr>
          <w:rFonts w:ascii="Arial" w:cs="Arial" w:eastAsia="Arial" w:hAnsi="Arial"/>
          <w:sz w:val="19"/>
          <w:szCs w:val="19"/>
          <w:color w:val="auto"/>
        </w:rPr>
        <w:t>means, for any period, the sum, without duplication, of (i) Consolidated Interest Expense,</w:t>
      </w:r>
    </w:p>
    <w:p>
      <w:pPr>
        <w:spacing w:after="0" w:line="85" w:lineRule="exact"/>
        <w:rPr>
          <w:sz w:val="20"/>
          <w:szCs w:val="20"/>
          <w:color w:val="auto"/>
        </w:rPr>
      </w:pPr>
    </w:p>
    <w:p>
      <w:pPr>
        <w:ind w:firstLine="8"/>
        <w:spacing w:after="0" w:line="387" w:lineRule="auto"/>
        <w:tabs>
          <w:tab w:leader="none" w:pos="331" w:val="left"/>
        </w:tabs>
        <w:numPr>
          <w:ilvl w:val="0"/>
          <w:numId w:val="84"/>
        </w:numPr>
        <w:rPr>
          <w:rFonts w:ascii="Arial" w:cs="Arial" w:eastAsia="Arial" w:hAnsi="Arial"/>
          <w:sz w:val="19"/>
          <w:szCs w:val="19"/>
          <w:color w:val="auto"/>
        </w:rPr>
      </w:pPr>
      <w:r>
        <w:rPr>
          <w:rFonts w:ascii="Arial" w:cs="Arial" w:eastAsia="Arial" w:hAnsi="Arial"/>
          <w:sz w:val="19"/>
          <w:szCs w:val="19"/>
          <w:color w:val="auto"/>
        </w:rPr>
        <w:t>scheduled payments of principal on Consolidated Total Indebtedness (excluding any balloon payments payable on maturity of any such Consolidated Total Indebtedness), (iii) the amount of dividends or distributions paid or required to be paid by any</w:t>
      </w:r>
    </w:p>
    <w:p>
      <w:pPr>
        <w:spacing w:after="0" w:line="133"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7</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90" w:name="page91"/>
    <w:bookmarkEnd w:id="90"/>
    <w:p>
      <w:pPr>
        <w:jc w:val="both"/>
        <w:spacing w:after="0" w:line="336" w:lineRule="auto"/>
        <w:rPr>
          <w:sz w:val="20"/>
          <w:szCs w:val="20"/>
          <w:color w:val="auto"/>
        </w:rPr>
      </w:pPr>
      <w:r>
        <w:rPr>
          <w:rFonts w:ascii="Arial" w:cs="Arial" w:eastAsia="Arial" w:hAnsi="Arial"/>
          <w:sz w:val="19"/>
          <w:szCs w:val="19"/>
          <w:color w:val="auto"/>
        </w:rPr>
        <w:t>member of the Consolidated Group (other than to another member of the Consolidated Group) during such period in respect of its preferred Equity Interests (excluding any balloon payments payable on maturity or redemption in whole of such Equity Interests) and (iv) the Consolidated Group Pro Rata Share of the amount of dividends or distributions paid or required to be paid by any Unconsolidated Affiliate during such period in respect of its preferred Equity Interests (to Persons other than (x) a member of the Consolidated Group or (y) an Unconsolidated Affiliate in which the percentage of Equity Interests of such Unconsolidated Affiliate owned by the Consolidated Group is greater than or equal to the percentage of Equity Interests owned by the Consolidated Group in the Unconsolidated Affiliate paying the dividend or distribution).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"Consolidated Group” </w:t>
      </w:r>
      <w:r>
        <w:rPr>
          <w:rFonts w:ascii="Arial" w:cs="Arial" w:eastAsia="Arial" w:hAnsi="Arial"/>
          <w:sz w:val="22"/>
          <w:szCs w:val="22"/>
          <w:color w:val="auto"/>
        </w:rPr>
        <w:t>means, collectively, the Note Parties and their Consolidated Subsidiaries.</w:t>
      </w:r>
    </w:p>
    <w:p>
      <w:pPr>
        <w:spacing w:after="0" w:line="28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“Consolidated Group Pro Rata Share</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means, with respect to any Unconsolidated Affiliate, the percentage interest held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Consolidated Group, in the aggregate, in such Unconsolidated Affiliate determined by calculating the percentage of Equity Interests of such Unconsolidated Affiliate owned by the Consolidated Group.</w:t>
      </w:r>
    </w:p>
    <w:p>
      <w:pPr>
        <w:spacing w:after="0" w:line="205"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“Consolidated Interest Expense” </w:t>
      </w:r>
      <w:r>
        <w:rPr>
          <w:rFonts w:ascii="Arial" w:cs="Arial" w:eastAsia="Arial" w:hAnsi="Arial"/>
          <w:sz w:val="19"/>
          <w:szCs w:val="19"/>
          <w:color w:val="auto"/>
        </w:rPr>
        <w:t>means, for any period, without duplication, the sum of (i) total cash interest expense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(including, for the avoidance of doubt, capitalized interest) of the Consolidated Group for such period determined on a consolidated basis in accordance with GAAP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the Consolidated Group Pro Rata Share of total cash interest expense (including, for the avoidance of doubt, capitalized interest) of each Unconsolidated Affiliate for such period determined in accordance with GAAP.</w:t>
      </w:r>
    </w:p>
    <w:p>
      <w:pPr>
        <w:spacing w:after="0" w:line="16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“Consolidated Net Income” </w:t>
      </w:r>
      <w:r>
        <w:rPr>
          <w:rFonts w:ascii="Arial" w:cs="Arial" w:eastAsia="Arial" w:hAnsi="Arial"/>
          <w:sz w:val="21"/>
          <w:szCs w:val="21"/>
          <w:color w:val="auto"/>
        </w:rPr>
        <w:t>means, with respect to any period, the sum of (i) the net income (or loss) of the Consolidated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Group for such period determined on a consolidated basis in accordance with GAAP, excluding any extraordinary or non-recurring gain (or extraordinary or non-recurring loss) realized during such period by any member of the Consolidated Group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the Consolidated Group Pro Rata Share of the net income (or loss) of each Unconsolidated Affiliate for such period determined in accordance with GAAP, excluding any extraordinary or non-recurring gain (or extraordinary or non-recurring loss) realized during such period by such Unconsolidated Affiliate.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“Consolidated Secured Leverage Ratio” </w:t>
      </w:r>
      <w:r>
        <w:rPr>
          <w:rFonts w:ascii="Arial" w:cs="Arial" w:eastAsia="Arial" w:hAnsi="Arial"/>
          <w:sz w:val="19"/>
          <w:szCs w:val="19"/>
          <w:color w:val="auto"/>
        </w:rPr>
        <w:t>means, as of any date of determination, the ratio (expressed as a percentage) of</w:t>
      </w:r>
    </w:p>
    <w:p>
      <w:pPr>
        <w:spacing w:after="0" w:line="85" w:lineRule="exact"/>
        <w:rPr>
          <w:sz w:val="20"/>
          <w:szCs w:val="20"/>
          <w:color w:val="auto"/>
        </w:rPr>
      </w:pPr>
    </w:p>
    <w:p>
      <w:pPr>
        <w:ind w:left="7700" w:right="1680" w:hanging="7692"/>
        <w:spacing w:after="0" w:line="407" w:lineRule="exact"/>
        <w:tabs>
          <w:tab w:leader="none" w:pos="271"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Consolidated Total Secured Indebtedness as of such date to (ii) the Secured Total Asset Value as of such date. </w:t>
      </w:r>
      <w:r>
        <w:rPr>
          <w:rFonts w:ascii="MS PGothic" w:cs="MS PGothic" w:eastAsia="MS PGothic" w:hAnsi="MS PGothic"/>
          <w:sz w:val="22"/>
          <w:szCs w:val="22"/>
          <w:color w:val="auto"/>
        </w:rPr>
        <w:t>‑</w:t>
      </w:r>
      <w:r>
        <w:rPr>
          <w:rFonts w:ascii="Arial" w:cs="Arial" w:eastAsia="Arial" w:hAnsi="Arial"/>
          <w:sz w:val="22"/>
          <w:szCs w:val="22"/>
          <w:color w:val="auto"/>
        </w:rPr>
        <w:t>8</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91" w:name="page92"/>
    <w:bookmarkEnd w:id="91"/>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“Consolidated Subsidiaries” </w:t>
      </w:r>
      <w:r>
        <w:rPr>
          <w:rFonts w:ascii="Arial" w:cs="Arial" w:eastAsia="Arial" w:hAnsi="Arial"/>
          <w:sz w:val="22"/>
          <w:szCs w:val="22"/>
          <w:color w:val="auto"/>
        </w:rPr>
        <w:t>means, as to any Person, all Subsidiaries of such Person that are consolidated with such</w:t>
      </w:r>
      <w:r>
        <w:rPr>
          <w:rFonts w:ascii="Arial" w:cs="Arial" w:eastAsia="Arial" w:hAnsi="Arial"/>
          <w:sz w:val="22"/>
          <w:szCs w:val="22"/>
          <w:b w:val="1"/>
          <w:bCs w:val="1"/>
          <w:color w:val="auto"/>
        </w:rPr>
        <w:t xml:space="preserve"> </w:t>
      </w:r>
      <w:r>
        <w:rPr>
          <w:rFonts w:ascii="Arial" w:cs="Arial" w:eastAsia="Arial" w:hAnsi="Arial"/>
          <w:sz w:val="22"/>
          <w:szCs w:val="22"/>
          <w:color w:val="auto"/>
        </w:rPr>
        <w:t>Person for financial reporting purposes under GAAP.</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“Consolidated Tangible Net Worth” </w:t>
      </w:r>
      <w:r>
        <w:rPr>
          <w:rFonts w:ascii="Arial" w:cs="Arial" w:eastAsia="Arial" w:hAnsi="Arial"/>
          <w:sz w:val="22"/>
          <w:szCs w:val="22"/>
          <w:color w:val="auto"/>
        </w:rPr>
        <w:t>means, as of any date of determination, for the Consolidated Group on a consolidated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basis, (a) Shareholders’ Equity of the Consolidated Group on that date,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Intangible Assets of the Consolidated Group on that date,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(c) accumulated depreciation expense on the assets of the Consolidated Group on that date determined in accordance with GAAP.</w:t>
      </w:r>
    </w:p>
    <w:p>
      <w:pPr>
        <w:spacing w:after="0" w:line="20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“Consolidated Total Indebtedness” </w:t>
      </w:r>
      <w:r>
        <w:rPr>
          <w:rFonts w:ascii="Arial" w:cs="Arial" w:eastAsia="Arial" w:hAnsi="Arial"/>
          <w:sz w:val="21"/>
          <w:szCs w:val="21"/>
          <w:color w:val="auto"/>
        </w:rPr>
        <w:t>means, as at any date of determination, the sum of (i) the aggregate amount of 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Indebtedness of the Consolidated Group that would be reflected on a consolidated balance sheet of the Consolidated Group as of such date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the Consolidated Group Pro Rata Share of the aggregate amount of all Indebtedness of each Unconsolidated Affiliate that would be reflected on a balance sheet of such Unconsolidated Affiliate.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“Consolidated Total Leverage Ratio” </w:t>
      </w:r>
      <w:r>
        <w:rPr>
          <w:rFonts w:ascii="Arial" w:cs="Arial" w:eastAsia="Arial" w:hAnsi="Arial"/>
          <w:sz w:val="19"/>
          <w:szCs w:val="19"/>
          <w:color w:val="auto"/>
        </w:rPr>
        <w:t>means, as of any date of determination, the ratio (expressed as a percentage) of</w:t>
      </w:r>
    </w:p>
    <w:p>
      <w:pPr>
        <w:spacing w:after="0" w:line="85" w:lineRule="exact"/>
        <w:rPr>
          <w:sz w:val="20"/>
          <w:szCs w:val="20"/>
          <w:color w:val="auto"/>
        </w:rPr>
      </w:pPr>
    </w:p>
    <w:p>
      <w:pPr>
        <w:ind w:right="20" w:firstLine="8"/>
        <w:spacing w:after="0" w:line="302" w:lineRule="auto"/>
        <w:tabs>
          <w:tab w:leader="none" w:pos="263"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Consolidated Total Indebtedness as of such date, </w:t>
      </w:r>
      <w:r>
        <w:rPr>
          <w:rFonts w:ascii="Arial" w:cs="Arial" w:eastAsia="Arial" w:hAnsi="Arial"/>
          <w:sz w:val="22"/>
          <w:szCs w:val="22"/>
          <w:i w:val="1"/>
          <w:iCs w:val="1"/>
          <w:color w:val="auto"/>
        </w:rPr>
        <w:t>less</w:t>
      </w:r>
      <w:r>
        <w:rPr>
          <w:rFonts w:ascii="Arial" w:cs="Arial" w:eastAsia="Arial" w:hAnsi="Arial"/>
          <w:sz w:val="22"/>
          <w:szCs w:val="22"/>
          <w:color w:val="auto"/>
        </w:rPr>
        <w:t xml:space="preserve"> the Unrestricted Cash Amount as of such date to (ii) the Total Asset Value as of such date.</w:t>
      </w:r>
    </w:p>
    <w:p>
      <w:pPr>
        <w:spacing w:after="0" w:line="195"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“Consolidated Total Secured Indebtedness” </w:t>
      </w:r>
      <w:r>
        <w:rPr>
          <w:rFonts w:ascii="Arial" w:cs="Arial" w:eastAsia="Arial" w:hAnsi="Arial"/>
          <w:sz w:val="19"/>
          <w:szCs w:val="19"/>
          <w:color w:val="auto"/>
        </w:rPr>
        <w:t>means, as at any date of determination, the sum of (i) the aggregate amount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all Secured Indebtedness of the Consolidated Group that would be reflected on a consolidated balance sheet of the Consolidated Group as of such date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the Consolidated Group Pro Rata Share of the aggregate amount of all Secured Indebtedness of each Unconsolidated Affiliate that would be reflected on a balance sheet of such Unconsolidated Affiliate.</w:t>
      </w:r>
    </w:p>
    <w:p>
      <w:pPr>
        <w:spacing w:after="0" w:line="1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“Consolidated Total Unsecured Indebtedness” </w:t>
      </w:r>
      <w:r>
        <w:rPr>
          <w:rFonts w:ascii="Arial" w:cs="Arial" w:eastAsia="Arial" w:hAnsi="Arial"/>
          <w:sz w:val="22"/>
          <w:szCs w:val="22"/>
          <w:color w:val="auto"/>
        </w:rPr>
        <w:t>means, as at any date of determination, the sum of (i) the aggregate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amount of all Unsecured Indebtedness of the Consolidated Group (including Indebtedness outstanding under this Agreement) that would be reflected on a consolidated balance sheet of the Consolidated Group as of such date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(ii) the Consolidated Group Pro Rata Share of the aggregate amount of all Unsecured Indebtedness of each Unconsolidated Affiliate that would be reflected on a balance sheet of such Unconsolidated Affiliate.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“Consolidated Unsecured Interest Coverage Ratio” </w:t>
      </w:r>
      <w:r>
        <w:rPr>
          <w:rFonts w:ascii="Arial" w:cs="Arial" w:eastAsia="Arial" w:hAnsi="Arial"/>
          <w:sz w:val="19"/>
          <w:szCs w:val="19"/>
          <w:color w:val="auto"/>
        </w:rPr>
        <w:t>means the ratio as of the last day of any fiscal quarter of the REIT of</w:t>
      </w:r>
    </w:p>
    <w:p>
      <w:pPr>
        <w:spacing w:after="0" w:line="85" w:lineRule="exact"/>
        <w:rPr>
          <w:sz w:val="20"/>
          <w:szCs w:val="20"/>
          <w:color w:val="auto"/>
        </w:rPr>
      </w:pPr>
    </w:p>
    <w:p>
      <w:pPr>
        <w:ind w:firstLine="8"/>
        <w:spacing w:after="0" w:line="302" w:lineRule="auto"/>
        <w:tabs>
          <w:tab w:leader="none" w:pos="261"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sum of Unencumbered Property NOI of each Unencumbered Eligible Property for the fiscal quarter of the REIT then ending to (ii) Consolidated Unsecured Interest Expense for such fiscal quarter.</w:t>
      </w:r>
    </w:p>
    <w:p>
      <w:pPr>
        <w:spacing w:after="0" w:line="19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“Consolidated Unsecured Interest Expense” </w:t>
      </w:r>
      <w:r>
        <w:rPr>
          <w:rFonts w:ascii="Arial" w:cs="Arial" w:eastAsia="Arial" w:hAnsi="Arial"/>
          <w:sz w:val="22"/>
          <w:szCs w:val="22"/>
          <w:color w:val="auto"/>
        </w:rPr>
        <w:t>means, for any period, the portion of Consolidated Interest Expense for such</w:t>
      </w:r>
      <w:r>
        <w:rPr>
          <w:rFonts w:ascii="Arial" w:cs="Arial" w:eastAsia="Arial" w:hAnsi="Arial"/>
          <w:sz w:val="22"/>
          <w:szCs w:val="22"/>
          <w:b w:val="1"/>
          <w:bCs w:val="1"/>
          <w:color w:val="auto"/>
        </w:rPr>
        <w:t xml:space="preserve"> </w:t>
      </w:r>
      <w:r>
        <w:rPr>
          <w:rFonts w:ascii="Arial" w:cs="Arial" w:eastAsia="Arial" w:hAnsi="Arial"/>
          <w:sz w:val="22"/>
          <w:szCs w:val="22"/>
          <w:color w:val="auto"/>
        </w:rPr>
        <w:t>period that was incurred in respect of Unsecured Indebtedness of any member of the Consolidated Group or an Unconsolidated Affiliate.</w:t>
      </w:r>
    </w:p>
    <w:p>
      <w:pPr>
        <w:spacing w:after="0" w:line="211" w:lineRule="exact"/>
        <w:rPr>
          <w:sz w:val="20"/>
          <w:szCs w:val="20"/>
          <w:color w:val="auto"/>
        </w:rPr>
      </w:pPr>
    </w:p>
    <w:p>
      <w:pPr>
        <w:ind w:left="770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9</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92" w:name="page93"/>
    <w:bookmarkEnd w:id="92"/>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“Consolidated Unsecured Leverage Ratio” </w:t>
      </w:r>
      <w:r>
        <w:rPr>
          <w:rFonts w:ascii="Arial" w:cs="Arial" w:eastAsia="Arial" w:hAnsi="Arial"/>
          <w:sz w:val="22"/>
          <w:szCs w:val="22"/>
          <w:color w:val="auto"/>
        </w:rPr>
        <w:t>means, as of any date of determination, the ratio (expressed as a percentage)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(i) Consolidated Total Unsecured Indebtedness as of such date, </w:t>
      </w:r>
      <w:r>
        <w:rPr>
          <w:rFonts w:ascii="Arial" w:cs="Arial" w:eastAsia="Arial" w:hAnsi="Arial"/>
          <w:sz w:val="22"/>
          <w:szCs w:val="22"/>
          <w:i w:val="1"/>
          <w:iCs w:val="1"/>
          <w:color w:val="auto"/>
        </w:rPr>
        <w:t>less</w:t>
      </w:r>
      <w:r>
        <w:rPr>
          <w:rFonts w:ascii="Arial" w:cs="Arial" w:eastAsia="Arial" w:hAnsi="Arial"/>
          <w:sz w:val="22"/>
          <w:szCs w:val="22"/>
          <w:color w:val="auto"/>
        </w:rPr>
        <w:t xml:space="preserve"> the Unrestricted Cash Amount as of such date to (ii) the Unencumbered Asset Value as of such date.</w:t>
      </w:r>
    </w:p>
    <w:p>
      <w:pPr>
        <w:spacing w:after="0" w:line="205"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21"/>
          <w:szCs w:val="21"/>
          <w:b w:val="1"/>
          <w:bCs w:val="1"/>
          <w:color w:val="auto"/>
        </w:rPr>
        <w:t xml:space="preserve">“Contractual Obligation” </w:t>
      </w:r>
      <w:r>
        <w:rPr>
          <w:rFonts w:ascii="Arial" w:cs="Arial" w:eastAsia="Arial" w:hAnsi="Arial"/>
          <w:sz w:val="21"/>
          <w:szCs w:val="21"/>
          <w:color w:val="auto"/>
        </w:rPr>
        <w:t>means, as to any Person, any provision of any security issued by such Person or of any</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instrument or other undertaking to which such Person is a party or by which it or any of its property is bound.</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“Control” </w:t>
      </w:r>
      <w:r>
        <w:rPr>
          <w:rFonts w:ascii="Arial" w:cs="Arial" w:eastAsia="Arial" w:hAnsi="Arial"/>
          <w:sz w:val="22"/>
          <w:szCs w:val="22"/>
          <w:color w:val="auto"/>
        </w:rPr>
        <w:t>means the possession, directly or indirectly, of the power to direct or cause the direction of the management or</w:t>
      </w:r>
      <w:r>
        <w:rPr>
          <w:rFonts w:ascii="Arial" w:cs="Arial" w:eastAsia="Arial" w:hAnsi="Arial"/>
          <w:sz w:val="22"/>
          <w:szCs w:val="22"/>
          <w:b w:val="1"/>
          <w:bCs w:val="1"/>
          <w:color w:val="auto"/>
        </w:rPr>
        <w:t xml:space="preserve"> </w:t>
      </w:r>
      <w:r>
        <w:rPr>
          <w:rFonts w:ascii="Arial" w:cs="Arial" w:eastAsia="Arial" w:hAnsi="Arial"/>
          <w:sz w:val="22"/>
          <w:szCs w:val="22"/>
          <w:color w:val="auto"/>
        </w:rPr>
        <w:t>policies of a Person, whether through the ability to exercise voting power, by contract or otherwise.</w:t>
      </w:r>
    </w:p>
    <w:p>
      <w:pPr>
        <w:spacing w:after="0" w:line="188"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Controlled Entity”</w:t>
      </w:r>
      <w:r>
        <w:rPr>
          <w:rFonts w:ascii="Arial" w:cs="Arial" w:eastAsia="Arial" w:hAnsi="Arial"/>
          <w:sz w:val="19"/>
          <w:szCs w:val="19"/>
          <w:color w:val="auto"/>
        </w:rPr>
        <w:t xml:space="preserve"> means (i) any of the Subsidiaries of a Note Party and any of their or such Note Party’s respective Controlled Affiliates and (ii) if a Note Party has a parent company, such parent company and its Controlled Affiliates.</w:t>
      </w:r>
    </w:p>
    <w:p>
      <w:pPr>
        <w:spacing w:after="0" w:line="120"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b w:val="1"/>
          <w:bCs w:val="1"/>
          <w:color w:val="auto"/>
        </w:rPr>
        <w:t xml:space="preserve">“Controlled Joint Venture” </w:t>
      </w:r>
      <w:r>
        <w:rPr>
          <w:rFonts w:ascii="Arial" w:cs="Arial" w:eastAsia="Arial" w:hAnsi="Arial"/>
          <w:sz w:val="21"/>
          <w:szCs w:val="21"/>
          <w:color w:val="auto"/>
        </w:rPr>
        <w:t>means a Subsidiary of the Company that (i) is organized under the laws of the United States of</w:t>
      </w:r>
      <w:r>
        <w:rPr>
          <w:rFonts w:ascii="Arial" w:cs="Arial" w:eastAsia="Arial" w:hAnsi="Arial"/>
          <w:sz w:val="21"/>
          <w:szCs w:val="21"/>
          <w:b w:val="1"/>
          <w:bCs w:val="1"/>
          <w:color w:val="auto"/>
        </w:rPr>
        <w:t xml:space="preserve"> </w:t>
      </w:r>
      <w:r>
        <w:rPr>
          <w:rFonts w:ascii="Arial" w:cs="Arial" w:eastAsia="Arial" w:hAnsi="Arial"/>
          <w:sz w:val="21"/>
          <w:szCs w:val="21"/>
          <w:color w:val="auto"/>
        </w:rPr>
        <w:t>America or any State thereof (and each Subsidiary of the Company that directly or indirectly owns any Equity Interests in such Subsidiary that is also organized under the laws of the United States of America or any State thereof), (ii) is not (and is not required to be) a Guarantor, (iii) is not a Wholly-Owned Subsidiary, and (iv) is controlled by a Note Party (or following a Permitted Subsidiary Guarantor Release any Note Party or any Wholly-Owned Subsidiary of the Company). For purposes of this definition, a Subsidiary of the Company is “controlled” by a Person if such Person has the right to exercise exclusive control over any disposition, refinancing and operating activity of any Unencumbered Portfolio Property owned or ground leased by such Subsidiary without the consent of any other Person (other than (i) the Company or (ii) any Subsidiary of the Company, as long as such Subsidiary does not need the consent of any minority equity holder thereof to consent to any disposition, refinancing or operating activity).</w:t>
      </w:r>
    </w:p>
    <w:p>
      <w:pPr>
        <w:spacing w:after="0" w:line="20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1"/>
          <w:szCs w:val="21"/>
          <w:b w:val="1"/>
          <w:bCs w:val="1"/>
          <w:color w:val="auto"/>
        </w:rPr>
        <w:t xml:space="preserve">“Debtor Relief Laws” </w:t>
      </w:r>
      <w:r>
        <w:rPr>
          <w:rFonts w:ascii="Arial" w:cs="Arial" w:eastAsia="Arial" w:hAnsi="Arial"/>
          <w:sz w:val="21"/>
          <w:szCs w:val="21"/>
          <w:color w:val="auto"/>
        </w:rPr>
        <w:t>means the Bankruptcy Code of the United States, and all other liquidation, conservatorship,</w:t>
      </w:r>
      <w:r>
        <w:rPr>
          <w:rFonts w:ascii="Arial" w:cs="Arial" w:eastAsia="Arial" w:hAnsi="Arial"/>
          <w:sz w:val="21"/>
          <w:szCs w:val="21"/>
          <w:b w:val="1"/>
          <w:bCs w:val="1"/>
          <w:color w:val="auto"/>
        </w:rPr>
        <w:t xml:space="preserve"> </w:t>
      </w:r>
      <w:r>
        <w:rPr>
          <w:rFonts w:ascii="Arial" w:cs="Arial" w:eastAsia="Arial" w:hAnsi="Arial"/>
          <w:sz w:val="21"/>
          <w:szCs w:val="21"/>
          <w:color w:val="auto"/>
        </w:rPr>
        <w:t>bankruptcy, assignment for the benefit of creditors, moratorium, rearrangement, receivership, insolvency, reorganization, or similar debtor relief Laws of the United States or other applicable jurisdictions from time to time in effect.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“Default” </w:t>
      </w:r>
      <w:r>
        <w:rPr>
          <w:rFonts w:ascii="Arial" w:cs="Arial" w:eastAsia="Arial" w:hAnsi="Arial"/>
          <w:sz w:val="22"/>
          <w:szCs w:val="22"/>
          <w:color w:val="auto"/>
        </w:rPr>
        <w:t>means an event or condition the occurrence or existence of which would, with the lapse of time or the giving of</w:t>
      </w:r>
      <w:r>
        <w:rPr>
          <w:rFonts w:ascii="Arial" w:cs="Arial" w:eastAsia="Arial" w:hAnsi="Arial"/>
          <w:sz w:val="22"/>
          <w:szCs w:val="22"/>
          <w:b w:val="1"/>
          <w:bCs w:val="1"/>
          <w:color w:val="auto"/>
        </w:rPr>
        <w:t xml:space="preserve"> </w:t>
      </w:r>
      <w:r>
        <w:rPr>
          <w:rFonts w:ascii="Arial" w:cs="Arial" w:eastAsia="Arial" w:hAnsi="Arial"/>
          <w:sz w:val="22"/>
          <w:szCs w:val="22"/>
          <w:color w:val="auto"/>
        </w:rPr>
        <w:t>notice or both, become an Event of Default.</w:t>
      </w:r>
    </w:p>
    <w:p>
      <w:pPr>
        <w:spacing w:after="0" w:line="194"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10</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93" w:name="page94"/>
    <w:bookmarkEnd w:id="93"/>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“Default Rate” </w:t>
      </w:r>
      <w:r>
        <w:rPr>
          <w:rFonts w:ascii="Arial" w:cs="Arial" w:eastAsia="Arial" w:hAnsi="Arial"/>
          <w:sz w:val="22"/>
          <w:szCs w:val="22"/>
          <w:color w:val="auto"/>
        </w:rPr>
        <w:t>for each series of Notes means that rate of interest that is the greater of (i) 2.00% per annum above the rate</w:t>
      </w:r>
      <w:r>
        <w:rPr>
          <w:rFonts w:ascii="Arial" w:cs="Arial" w:eastAsia="Arial" w:hAnsi="Arial"/>
          <w:sz w:val="22"/>
          <w:szCs w:val="22"/>
          <w:b w:val="1"/>
          <w:bCs w:val="1"/>
          <w:color w:val="auto"/>
        </w:rPr>
        <w:t xml:space="preserve"> </w:t>
      </w:r>
      <w:r>
        <w:rPr>
          <w:rFonts w:ascii="Arial" w:cs="Arial" w:eastAsia="Arial" w:hAnsi="Arial"/>
          <w:sz w:val="22"/>
          <w:szCs w:val="22"/>
          <w:color w:val="auto"/>
        </w:rPr>
        <w:t>of interest stated in clause (a) of the first paragraph of such Notes or (ii) 2.00% over the rate of interest publicly announced by Bank of America, N.A. in New York, New York as its “base” or “prime” rate.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“Disclosure Documents” </w:t>
      </w:r>
      <w:r>
        <w:rPr>
          <w:rFonts w:ascii="Arial" w:cs="Arial" w:eastAsia="Arial" w:hAnsi="Arial"/>
          <w:sz w:val="22"/>
          <w:szCs w:val="22"/>
          <w:color w:val="auto"/>
        </w:rPr>
        <w:t>is defined in Section 5.3.</w:t>
      </w:r>
    </w:p>
    <w:p>
      <w:pPr>
        <w:spacing w:after="0" w:line="2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“Disposed Portfolio Property” </w:t>
      </w:r>
      <w:r>
        <w:rPr>
          <w:rFonts w:ascii="Arial" w:cs="Arial" w:eastAsia="Arial" w:hAnsi="Arial"/>
          <w:sz w:val="22"/>
          <w:szCs w:val="22"/>
          <w:color w:val="auto"/>
        </w:rPr>
        <w:t>means, as of any date of determination, any Portfolio Property that is directly or indirectly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disposed of by any member of the Consolidated Group to a Person that is not a member of the Consolidated Group during the then most recently ended fiscal quarter of the REIT for which financial statements have been provided to the holders pursuant to Section 7.1(a) or (b).</w:t>
      </w:r>
    </w:p>
    <w:p>
      <w:pPr>
        <w:spacing w:after="0" w:line="20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“Disposition” </w:t>
      </w:r>
      <w:r>
        <w:rPr>
          <w:rFonts w:ascii="Arial" w:cs="Arial" w:eastAsia="Arial" w:hAnsi="Arial"/>
          <w:sz w:val="22"/>
          <w:szCs w:val="22"/>
          <w:color w:val="auto"/>
        </w:rPr>
        <w:t>or</w:t>
      </w:r>
      <w:r>
        <w:rPr>
          <w:rFonts w:ascii="Arial" w:cs="Arial" w:eastAsia="Arial" w:hAnsi="Arial"/>
          <w:sz w:val="22"/>
          <w:szCs w:val="22"/>
          <w:b w:val="1"/>
          <w:bCs w:val="1"/>
          <w:color w:val="auto"/>
        </w:rPr>
        <w:t xml:space="preserve"> “Dispose” </w:t>
      </w:r>
      <w:r>
        <w:rPr>
          <w:rFonts w:ascii="Arial" w:cs="Arial" w:eastAsia="Arial" w:hAnsi="Arial"/>
          <w:sz w:val="22"/>
          <w:szCs w:val="22"/>
          <w:color w:val="auto"/>
        </w:rPr>
        <w:t>means the sale, transfer, license, lease (other than a real estate lease entered into in the ordinary</w:t>
      </w:r>
      <w:r>
        <w:rPr>
          <w:rFonts w:ascii="Arial" w:cs="Arial" w:eastAsia="Arial" w:hAnsi="Arial"/>
          <w:sz w:val="22"/>
          <w:szCs w:val="22"/>
          <w:b w:val="1"/>
          <w:bCs w:val="1"/>
          <w:color w:val="auto"/>
        </w:rPr>
        <w:t xml:space="preserve"> </w:t>
      </w:r>
      <w:r>
        <w:rPr>
          <w:rFonts w:ascii="Arial" w:cs="Arial" w:eastAsia="Arial" w:hAnsi="Arial"/>
          <w:sz w:val="22"/>
          <w:szCs w:val="22"/>
          <w:color w:val="auto"/>
        </w:rPr>
        <w:t>course of business)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20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2"/>
          <w:szCs w:val="22"/>
          <w:b w:val="1"/>
          <w:bCs w:val="1"/>
          <w:color w:val="auto"/>
        </w:rPr>
        <w:t xml:space="preserve">“EDGAR” </w:t>
      </w:r>
      <w:r>
        <w:rPr>
          <w:rFonts w:ascii="Arial" w:cs="Arial" w:eastAsia="Arial" w:hAnsi="Arial"/>
          <w:sz w:val="22"/>
          <w:szCs w:val="22"/>
          <w:color w:val="auto"/>
        </w:rPr>
        <w:t>means the SEC’s Electronic Data Gathering, Analysis and Retrieval System or any successor SEC electronic</w:t>
      </w:r>
      <w:r>
        <w:rPr>
          <w:rFonts w:ascii="Arial" w:cs="Arial" w:eastAsia="Arial" w:hAnsi="Arial"/>
          <w:sz w:val="22"/>
          <w:szCs w:val="22"/>
          <w:b w:val="1"/>
          <w:bCs w:val="1"/>
          <w:color w:val="auto"/>
        </w:rPr>
        <w:t xml:space="preserve"> </w:t>
      </w:r>
      <w:r>
        <w:rPr>
          <w:rFonts w:ascii="Arial" w:cs="Arial" w:eastAsia="Arial" w:hAnsi="Arial"/>
          <w:sz w:val="22"/>
          <w:szCs w:val="22"/>
          <w:color w:val="auto"/>
        </w:rPr>
        <w:t>filing system for such purposes.</w:t>
      </w:r>
    </w:p>
    <w:p>
      <w:pPr>
        <w:spacing w:after="0" w:line="188"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“Eligible Ground Lease” </w:t>
      </w:r>
      <w:r>
        <w:rPr>
          <w:rFonts w:ascii="Arial" w:cs="Arial" w:eastAsia="Arial" w:hAnsi="Arial"/>
          <w:sz w:val="19"/>
          <w:szCs w:val="19"/>
          <w:color w:val="auto"/>
        </w:rPr>
        <w:t>means a ground lease with respect to a Portfolio Property executed by a Note Party or Subsidiary</w:t>
      </w:r>
      <w:r>
        <w:rPr>
          <w:rFonts w:ascii="Arial" w:cs="Arial" w:eastAsia="Arial" w:hAnsi="Arial"/>
          <w:sz w:val="19"/>
          <w:szCs w:val="19"/>
          <w:b w:val="1"/>
          <w:bCs w:val="1"/>
          <w:color w:val="auto"/>
        </w:rPr>
        <w:t xml:space="preserve"> </w:t>
      </w:r>
      <w:r>
        <w:rPr>
          <w:rFonts w:ascii="Arial" w:cs="Arial" w:eastAsia="Arial" w:hAnsi="Arial"/>
          <w:sz w:val="19"/>
          <w:szCs w:val="19"/>
          <w:color w:val="auto"/>
        </w:rPr>
        <w:t>thereof, as lessee, that (a) has a minimum remaining term of thirty-five (35) years, including tenant controlled options, as of the date the related Portfolio Property becomes an Unencumbered Eligible Property hereunder, (b) has customary notice rights, default cure rights, bankruptcy new lease rights and other customary provisions for the benefit of a leasehold mortgagee or has equivalent protection for a leasehold permanent mortgagee by a subordination to such leasehold permanent mortgagee of the landlord’s fee interest and (c) is otherwise acceptable for non recourse leasehold mortgage financing under customary prudent lending requirements as reasonably and mutually determined by both the Company and the Required Holders (provided that any ground lease deemed so acceptable by the Company and the Administrative Agent under the Primary Credit Facility shall be deemed to have been determined to be acceptable for purposes of clauses (b) and (c) hereunder).</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“Environment” </w:t>
      </w:r>
      <w:r>
        <w:rPr>
          <w:rFonts w:ascii="Arial" w:cs="Arial" w:eastAsia="Arial" w:hAnsi="Arial"/>
          <w:sz w:val="22"/>
          <w:szCs w:val="22"/>
          <w:color w:val="auto"/>
        </w:rPr>
        <w:t>means ambient air, indoor air, surface water, groundwater, drinking water, soil, surface and subsurface</w:t>
      </w:r>
      <w:r>
        <w:rPr>
          <w:rFonts w:ascii="Arial" w:cs="Arial" w:eastAsia="Arial" w:hAnsi="Arial"/>
          <w:sz w:val="22"/>
          <w:szCs w:val="22"/>
          <w:b w:val="1"/>
          <w:bCs w:val="1"/>
          <w:color w:val="auto"/>
        </w:rPr>
        <w:t xml:space="preserve"> </w:t>
      </w:r>
      <w:r>
        <w:rPr>
          <w:rFonts w:ascii="Arial" w:cs="Arial" w:eastAsia="Arial" w:hAnsi="Arial"/>
          <w:sz w:val="22"/>
          <w:szCs w:val="22"/>
          <w:color w:val="auto"/>
        </w:rPr>
        <w:t>strata, and natural resources such as wetlands, flora and fauna.</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“Environmental Laws” </w:t>
      </w:r>
      <w:r>
        <w:rPr>
          <w:rFonts w:ascii="Arial" w:cs="Arial" w:eastAsia="Arial" w:hAnsi="Arial"/>
          <w:sz w:val="22"/>
          <w:szCs w:val="22"/>
          <w:color w:val="auto"/>
        </w:rPr>
        <w:t>means any and all federal, state, local, and foreign statutes, laws, regulations, ordinances, rules,</w:t>
      </w:r>
      <w:r>
        <w:rPr>
          <w:rFonts w:ascii="Arial" w:cs="Arial" w:eastAsia="Arial" w:hAnsi="Arial"/>
          <w:sz w:val="22"/>
          <w:szCs w:val="22"/>
          <w:b w:val="1"/>
          <w:bCs w:val="1"/>
          <w:color w:val="auto"/>
        </w:rPr>
        <w:t xml:space="preserve"> </w:t>
      </w:r>
      <w:r>
        <w:rPr>
          <w:rFonts w:ascii="Arial" w:cs="Arial" w:eastAsia="Arial" w:hAnsi="Arial"/>
          <w:sz w:val="22"/>
          <w:szCs w:val="22"/>
          <w:color w:val="auto"/>
        </w:rPr>
        <w:t>judgments, orders, decrees, permits, agreements or governmental</w:t>
      </w:r>
    </w:p>
    <w:p>
      <w:pPr>
        <w:spacing w:after="0" w:line="194"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11</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94" w:name="page95"/>
    <w:bookmarkEnd w:id="94"/>
    <w:p>
      <w:pPr>
        <w:jc w:val="both"/>
        <w:spacing w:after="0" w:line="292" w:lineRule="auto"/>
        <w:rPr>
          <w:sz w:val="20"/>
          <w:szCs w:val="20"/>
          <w:color w:val="auto"/>
        </w:rPr>
      </w:pPr>
      <w:r>
        <w:rPr>
          <w:rFonts w:ascii="Arial" w:cs="Arial" w:eastAsia="Arial" w:hAnsi="Arial"/>
          <w:sz w:val="22"/>
          <w:szCs w:val="22"/>
          <w:color w:val="auto"/>
        </w:rPr>
        <w:t>restrictions relating to pollution or the protection of the Environment or of human health (to the extent related to exposure to Hazardous Materials), including those relating to the manufacture, generation, handling, transport, storage, treatment, Release or threat of Release of Hazardous Materials.</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“Environmental Permit” </w:t>
      </w:r>
      <w:r>
        <w:rPr>
          <w:rFonts w:ascii="Arial" w:cs="Arial" w:eastAsia="Arial" w:hAnsi="Arial"/>
          <w:sz w:val="22"/>
          <w:szCs w:val="22"/>
          <w:color w:val="auto"/>
        </w:rPr>
        <w:t>means any permit approval, identification number, license or other authorization required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any Environmental Law.</w:t>
      </w:r>
    </w:p>
    <w:p>
      <w:pPr>
        <w:spacing w:after="0" w:line="188"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b w:val="1"/>
          <w:bCs w:val="1"/>
          <w:color w:val="auto"/>
        </w:rPr>
        <w:t>“Equity Interests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means, with respect to any Person, all of the shares of capital stock of (or other ownership or profit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Equity Interests shall not include any debt securities or other Indebtedness convertible into, or exchangeable for, Equity Interests.</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“ERISA” </w:t>
      </w:r>
      <w:r>
        <w:rPr>
          <w:rFonts w:ascii="Arial" w:cs="Arial" w:eastAsia="Arial" w:hAnsi="Arial"/>
          <w:sz w:val="22"/>
          <w:szCs w:val="22"/>
          <w:color w:val="auto"/>
        </w:rPr>
        <w:t>means the Employee Retirement Income Security Act of 1974, as amended from time to time, and the rules and</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promulgated thereunder from time to time in effect.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“ERISA Affiliate” </w:t>
      </w:r>
      <w:r>
        <w:rPr>
          <w:rFonts w:ascii="Arial" w:cs="Arial" w:eastAsia="Arial" w:hAnsi="Arial"/>
          <w:sz w:val="22"/>
          <w:szCs w:val="22"/>
          <w:color w:val="auto"/>
        </w:rPr>
        <w:t>means any trade or business (whether or not incorporated) that is treated as a single employer together</w:t>
      </w:r>
      <w:r>
        <w:rPr>
          <w:rFonts w:ascii="Arial" w:cs="Arial" w:eastAsia="Arial" w:hAnsi="Arial"/>
          <w:sz w:val="22"/>
          <w:szCs w:val="22"/>
          <w:b w:val="1"/>
          <w:bCs w:val="1"/>
          <w:color w:val="auto"/>
        </w:rPr>
        <w:t xml:space="preserve"> </w:t>
      </w:r>
      <w:r>
        <w:rPr>
          <w:rFonts w:ascii="Arial" w:cs="Arial" w:eastAsia="Arial" w:hAnsi="Arial"/>
          <w:sz w:val="22"/>
          <w:szCs w:val="22"/>
          <w:color w:val="auto"/>
        </w:rPr>
        <w:t>with a Note Party under section 414 of the Code.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“Event of Default” </w:t>
      </w:r>
      <w:r>
        <w:rPr>
          <w:rFonts w:ascii="Arial" w:cs="Arial" w:eastAsia="Arial" w:hAnsi="Arial"/>
          <w:sz w:val="22"/>
          <w:szCs w:val="22"/>
          <w:color w:val="auto"/>
        </w:rPr>
        <w:t>is defined in Section 11.</w:t>
      </w:r>
    </w:p>
    <w:p>
      <w:pPr>
        <w:spacing w:after="0" w:line="2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“Exemption Conditions” </w:t>
      </w:r>
      <w:r>
        <w:rPr>
          <w:rFonts w:ascii="Arial" w:cs="Arial" w:eastAsia="Arial" w:hAnsi="Arial"/>
          <w:sz w:val="22"/>
          <w:szCs w:val="22"/>
          <w:color w:val="auto"/>
        </w:rPr>
        <w:t>means, at any time with respect to any Subsidiary of the Company, the satisfaction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conditions: (i) a Permitted Subsidiary Guarantor Release shall have been effected on or prior to such time and (ii) such Subsidiary is not party at such time to a Guaranty of, and is not otherwise an obligor in respect of, any Indebtedness of the Company (other than the Obligations).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“First Closing” </w:t>
      </w:r>
      <w:r>
        <w:rPr>
          <w:rFonts w:ascii="Arial" w:cs="Arial" w:eastAsia="Arial" w:hAnsi="Arial"/>
          <w:sz w:val="22"/>
          <w:szCs w:val="22"/>
          <w:color w:val="auto"/>
        </w:rPr>
        <w:t>is defined in Section 3(a).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“Fitch” </w:t>
      </w:r>
      <w:r>
        <w:rPr>
          <w:rFonts w:ascii="Arial" w:cs="Arial" w:eastAsia="Arial" w:hAnsi="Arial"/>
          <w:sz w:val="19"/>
          <w:szCs w:val="19"/>
          <w:color w:val="auto"/>
        </w:rPr>
        <w:t>means Fitch Ratings Inc., or any successor or assignee of the business of such company in the business of rating</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debt.</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“Form 10-K” </w:t>
      </w:r>
      <w:r>
        <w:rPr>
          <w:rFonts w:ascii="Arial" w:cs="Arial" w:eastAsia="Arial" w:hAnsi="Arial"/>
          <w:sz w:val="22"/>
          <w:szCs w:val="22"/>
          <w:color w:val="auto"/>
        </w:rPr>
        <w:t>is defined in Section 7.1(b).</w:t>
      </w:r>
    </w:p>
    <w:p>
      <w:pPr>
        <w:spacing w:after="0" w:line="293"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12</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22"/>
          <w:szCs w:val="22"/>
          <w:b w:val="1"/>
          <w:bCs w:val="1"/>
          <w:color w:val="auto"/>
        </w:rPr>
        <w:t xml:space="preserve">“Form 10-Q” </w:t>
      </w:r>
      <w:r>
        <w:rPr>
          <w:rFonts w:ascii="Arial" w:cs="Arial" w:eastAsia="Arial" w:hAnsi="Arial"/>
          <w:sz w:val="22"/>
          <w:szCs w:val="22"/>
          <w:color w:val="auto"/>
        </w:rPr>
        <w:t>is defined in Section 7.1(a).</w:t>
      </w:r>
    </w:p>
    <w:p>
      <w:pPr>
        <w:spacing w:after="0" w:line="2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“GAAP” </w:t>
      </w:r>
      <w:r>
        <w:rPr>
          <w:rFonts w:ascii="Arial" w:cs="Arial" w:eastAsia="Arial" w:hAnsi="Arial"/>
          <w:sz w:val="22"/>
          <w:szCs w:val="22"/>
          <w:color w:val="auto"/>
        </w:rPr>
        <w:t>means generally accepted accounting principles in the United States set forth in the opinions and pronouncements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“Governmental Authority” </w:t>
      </w:r>
      <w:r>
        <w:rPr>
          <w:rFonts w:ascii="Arial" w:cs="Arial" w:eastAsia="Arial" w:hAnsi="Arial"/>
          <w:sz w:val="22"/>
          <w:szCs w:val="22"/>
          <w:color w:val="auto"/>
        </w:rPr>
        <w:t>means</w:t>
      </w:r>
    </w:p>
    <w:p>
      <w:pPr>
        <w:spacing w:after="0" w:line="293" w:lineRule="exact"/>
        <w:rPr>
          <w:sz w:val="20"/>
          <w:szCs w:val="20"/>
          <w:color w:val="auto"/>
        </w:rPr>
      </w:pPr>
    </w:p>
    <w:p>
      <w:pPr>
        <w:ind w:left="2740" w:hanging="463"/>
        <w:spacing w:after="0"/>
        <w:tabs>
          <w:tab w:leader="none" w:pos="27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287" w:lineRule="exact"/>
        <w:rPr>
          <w:rFonts w:ascii="Arial" w:cs="Arial" w:eastAsia="Arial" w:hAnsi="Arial"/>
          <w:sz w:val="22"/>
          <w:szCs w:val="22"/>
          <w:color w:val="auto"/>
        </w:rPr>
      </w:pPr>
    </w:p>
    <w:p>
      <w:pPr>
        <w:ind w:left="4000" w:hanging="427"/>
        <w:spacing w:after="0"/>
        <w:tabs>
          <w:tab w:leader="none" w:pos="4000"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United States of America or any state or other political subdivision thereof, or</w:t>
      </w:r>
    </w:p>
    <w:p>
      <w:pPr>
        <w:spacing w:after="0" w:line="321" w:lineRule="exact"/>
        <w:rPr>
          <w:rFonts w:ascii="Arial" w:cs="Arial" w:eastAsia="Arial" w:hAnsi="Arial"/>
          <w:sz w:val="19"/>
          <w:szCs w:val="19"/>
          <w:color w:val="auto"/>
        </w:rPr>
      </w:pPr>
    </w:p>
    <w:p>
      <w:pPr>
        <w:ind w:left="1300" w:right="20" w:firstLine="2273"/>
        <w:spacing w:after="0" w:line="387" w:lineRule="auto"/>
        <w:tabs>
          <w:tab w:leader="none" w:pos="4067" w:val="left"/>
        </w:tabs>
        <w:numPr>
          <w:ilvl w:val="1"/>
          <w:numId w:val="88"/>
        </w:numPr>
        <w:rPr>
          <w:rFonts w:ascii="Arial" w:cs="Arial" w:eastAsia="Arial" w:hAnsi="Arial"/>
          <w:sz w:val="19"/>
          <w:szCs w:val="19"/>
          <w:color w:val="auto"/>
        </w:rPr>
      </w:pPr>
      <w:r>
        <w:rPr>
          <w:rFonts w:ascii="Arial" w:cs="Arial" w:eastAsia="Arial" w:hAnsi="Arial"/>
          <w:sz w:val="19"/>
          <w:szCs w:val="19"/>
          <w:color w:val="auto"/>
        </w:rPr>
        <w:t>any other jurisdiction in which any Note Party or any Subsidiary conducts all or any part of its business, or which asserts jurisdiction over any properties of any Note Party or any Subsidiary, or</w:t>
      </w:r>
    </w:p>
    <w:p>
      <w:pPr>
        <w:spacing w:after="0" w:line="132" w:lineRule="exact"/>
        <w:rPr>
          <w:rFonts w:ascii="Arial" w:cs="Arial" w:eastAsia="Arial" w:hAnsi="Arial"/>
          <w:sz w:val="19"/>
          <w:szCs w:val="19"/>
          <w:color w:val="auto"/>
        </w:rPr>
      </w:pPr>
    </w:p>
    <w:p>
      <w:pPr>
        <w:ind w:left="660" w:firstLine="1617"/>
        <w:spacing w:after="0" w:line="302" w:lineRule="auto"/>
        <w:tabs>
          <w:tab w:leader="none" w:pos="2839"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19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“Governmental Official” </w:t>
      </w:r>
      <w:r>
        <w:rPr>
          <w:rFonts w:ascii="Arial" w:cs="Arial" w:eastAsia="Arial" w:hAnsi="Arial"/>
          <w:sz w:val="22"/>
          <w:szCs w:val="22"/>
          <w:color w:val="auto"/>
        </w:rPr>
        <w:t>means any governmental official or employee, employee of any government-owned or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government-controlled entity, political party, any official of a political party, candidate for political office, official of any public international organization or anyone else acting in an official capacity.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“Guarantors” </w:t>
      </w:r>
      <w:r>
        <w:rPr>
          <w:rFonts w:ascii="Arial" w:cs="Arial" w:eastAsia="Arial" w:hAnsi="Arial"/>
          <w:sz w:val="22"/>
          <w:szCs w:val="22"/>
          <w:color w:val="auto"/>
        </w:rPr>
        <w:t>means, collectively, (a) the REIT and (b) each of the Subsidiary Guarantors.</w:t>
      </w:r>
    </w:p>
    <w:p>
      <w:pPr>
        <w:spacing w:after="0" w:line="28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b w:val="1"/>
          <w:bCs w:val="1"/>
          <w:color w:val="auto"/>
        </w:rPr>
        <w:t xml:space="preserve">“Guaranty” </w:t>
      </w:r>
      <w:r>
        <w:rPr>
          <w:rFonts w:ascii="Arial" w:cs="Arial" w:eastAsia="Arial" w:hAnsi="Arial"/>
          <w:sz w:val="21"/>
          <w:szCs w:val="21"/>
          <w:color w:val="auto"/>
        </w:rPr>
        <w:t>means, as to any Person, (a) any obligation, contingent or otherwise, of such Person guaranteeing or having</w:t>
      </w:r>
      <w:r>
        <w:rPr>
          <w:rFonts w:ascii="Arial" w:cs="Arial" w:eastAsia="Arial" w:hAnsi="Arial"/>
          <w:sz w:val="21"/>
          <w:szCs w:val="21"/>
          <w:b w:val="1"/>
          <w:bCs w:val="1"/>
          <w:color w:val="auto"/>
        </w:rPr>
        <w:t xml:space="preserve"> </w:t>
      </w:r>
      <w:r>
        <w:rPr>
          <w:rFonts w:ascii="Arial" w:cs="Arial" w:eastAsia="Arial" w:hAnsi="Arial"/>
          <w:sz w:val="21"/>
          <w:szCs w:val="21"/>
          <w:color w:val="auto"/>
        </w:rPr>
        <w:t>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w:t>
      </w:r>
    </w:p>
    <w:p>
      <w:pPr>
        <w:spacing w:after="0" w:line="21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13</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96" w:name="page97"/>
    <w:bookmarkEnd w:id="96"/>
    <w:p>
      <w:pPr>
        <w:jc w:val="both"/>
        <w:spacing w:after="0" w:line="299" w:lineRule="auto"/>
        <w:rPr>
          <w:sz w:val="20"/>
          <w:szCs w:val="20"/>
          <w:color w:val="auto"/>
        </w:rPr>
      </w:pPr>
      <w:r>
        <w:rPr>
          <w:rFonts w:ascii="Arial" w:cs="Arial" w:eastAsia="Arial" w:hAnsi="Arial"/>
          <w:sz w:val="21"/>
          <w:szCs w:val="21"/>
          <w:color w:val="auto"/>
        </w:rPr>
        <w:t>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Guaranty shall be deemed to be an amount equal to the stated or determinable amount of the related primary obligation, or portion thereof, in respect of which such Guaranty is made or, if not stated or determinable, the maximum reasonably anticipated liability in respect thereof as determined by the guaranteeing Person in good faith. The term “Guaranty” as a verb has a corresponding meaning.</w:t>
      </w:r>
    </w:p>
    <w:p>
      <w:pPr>
        <w:spacing w:after="0" w:line="207"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“Hazardous Materials” </w:t>
      </w:r>
      <w:r>
        <w:rPr>
          <w:rFonts w:ascii="Arial" w:cs="Arial" w:eastAsia="Arial" w:hAnsi="Arial"/>
          <w:sz w:val="19"/>
          <w:szCs w:val="19"/>
          <w:color w:val="auto"/>
        </w:rPr>
        <w:t>means all explosive or radioactive substances or wastes and all hazardous or toxic substances or</w:t>
      </w:r>
      <w:r>
        <w:rPr>
          <w:rFonts w:ascii="Arial" w:cs="Arial" w:eastAsia="Arial" w:hAnsi="Arial"/>
          <w:sz w:val="19"/>
          <w:szCs w:val="19"/>
          <w:b w:val="1"/>
          <w:bCs w:val="1"/>
          <w:color w:val="auto"/>
        </w:rPr>
        <w:t xml:space="preserve"> </w:t>
      </w:r>
      <w:r>
        <w:rPr>
          <w:rFonts w:ascii="Arial" w:cs="Arial" w:eastAsia="Arial" w:hAnsi="Arial"/>
          <w:sz w:val="19"/>
          <w:szCs w:val="19"/>
          <w:color w:val="auto"/>
        </w:rPr>
        <w:t>wastes,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“holder” </w:t>
      </w:r>
      <w:r>
        <w:rPr>
          <w:rFonts w:ascii="Arial" w:cs="Arial" w:eastAsia="Arial" w:hAnsi="Arial"/>
          <w:sz w:val="22"/>
          <w:szCs w:val="22"/>
          <w:color w:val="auto"/>
        </w:rPr>
        <w:t>means, with respect to any Note, the Person in whose name such Note is registered in the register maintained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Company pursuant to Section 13.1,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if such Person is a nominee, then for the purposes of Sections 7, 12, 17.2 and 18 and any related definitions in this Schedule B, “holder” shall mean the beneficial owner of such Note whose name and address appears in such register.</w:t>
      </w:r>
    </w:p>
    <w:p>
      <w:pPr>
        <w:spacing w:after="0" w:line="20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“Hotel Property” </w:t>
      </w:r>
      <w:r>
        <w:rPr>
          <w:rFonts w:ascii="Arial" w:cs="Arial" w:eastAsia="Arial" w:hAnsi="Arial"/>
          <w:sz w:val="22"/>
          <w:szCs w:val="22"/>
          <w:color w:val="auto"/>
        </w:rPr>
        <w:t>means a Portfolio Property that is (i) operated by or on behalf of one or more Subsidiaries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as a hotel and (ii) designated as a “Hotel Property” in a written notice executed by a Responsible Officer of the REIT and delivered to the holders.</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“Indebtedness” </w:t>
      </w:r>
      <w:r>
        <w:rPr>
          <w:rFonts w:ascii="Arial" w:cs="Arial" w:eastAsia="Arial" w:hAnsi="Arial"/>
          <w:sz w:val="22"/>
          <w:szCs w:val="22"/>
          <w:color w:val="auto"/>
        </w:rPr>
        <w:t>means, as to any Person at a particular time, without duplication, all of the following, whether or not</w:t>
      </w:r>
      <w:r>
        <w:rPr>
          <w:rFonts w:ascii="Arial" w:cs="Arial" w:eastAsia="Arial" w:hAnsi="Arial"/>
          <w:sz w:val="22"/>
          <w:szCs w:val="22"/>
          <w:b w:val="1"/>
          <w:bCs w:val="1"/>
          <w:color w:val="auto"/>
        </w:rPr>
        <w:t xml:space="preserve"> </w:t>
      </w:r>
      <w:r>
        <w:rPr>
          <w:rFonts w:ascii="Arial" w:cs="Arial" w:eastAsia="Arial" w:hAnsi="Arial"/>
          <w:sz w:val="22"/>
          <w:szCs w:val="22"/>
          <w:color w:val="auto"/>
        </w:rPr>
        <w:t>included as indebtedness or liabilities in accordance with GAAP:</w:t>
      </w:r>
    </w:p>
    <w:p>
      <w:pPr>
        <w:spacing w:after="0" w:line="194" w:lineRule="exact"/>
        <w:rPr>
          <w:sz w:val="20"/>
          <w:szCs w:val="20"/>
          <w:color w:val="auto"/>
        </w:rPr>
      </w:pPr>
    </w:p>
    <w:p>
      <w:pPr>
        <w:ind w:left="660" w:firstLine="1617"/>
        <w:spacing w:after="0" w:line="302" w:lineRule="auto"/>
        <w:tabs>
          <w:tab w:leader="none" w:pos="2762"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all obligations of such Person for borrowed money and all obligations of such Person evidenced by bonds, debentures, notes, loan agreements or other similar instruments;</w:t>
      </w:r>
    </w:p>
    <w:p>
      <w:pPr>
        <w:spacing w:after="0" w:line="200" w:lineRule="exact"/>
        <w:rPr>
          <w:rFonts w:ascii="Arial" w:cs="Arial" w:eastAsia="Arial" w:hAnsi="Arial"/>
          <w:sz w:val="22"/>
          <w:szCs w:val="22"/>
          <w:color w:val="auto"/>
        </w:rPr>
      </w:pPr>
    </w:p>
    <w:p>
      <w:pPr>
        <w:jc w:val="both"/>
        <w:ind w:left="660" w:firstLine="1617"/>
        <w:spacing w:after="0" w:line="292" w:lineRule="auto"/>
        <w:tabs>
          <w:tab w:leader="none" w:pos="2786"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maximum amount of all direct or contingent obligations of such Person arising under letters of credit (including standby and commercial), bankers’ acceptances and similar instruments (including bank guaranties, surety bonds, comfort letters, keep-well</w:t>
      </w:r>
    </w:p>
    <w:p>
      <w:pPr>
        <w:spacing w:after="0" w:line="21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14</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97" w:name="page98"/>
    <w:bookmarkEnd w:id="97"/>
    <w:p>
      <w:pPr>
        <w:ind w:left="660" w:right="20"/>
        <w:spacing w:after="0" w:line="302" w:lineRule="auto"/>
        <w:rPr>
          <w:sz w:val="20"/>
          <w:szCs w:val="20"/>
          <w:color w:val="auto"/>
        </w:rPr>
      </w:pPr>
      <w:r>
        <w:rPr>
          <w:rFonts w:ascii="Arial" w:cs="Arial" w:eastAsia="Arial" w:hAnsi="Arial"/>
          <w:sz w:val="22"/>
          <w:szCs w:val="22"/>
          <w:color w:val="auto"/>
        </w:rPr>
        <w:t>agreements and capital maintenance agreements), in each case to the extent such instruments or agreements support financial, rather than performance, obligations;</w:t>
      </w:r>
    </w:p>
    <w:p>
      <w:pPr>
        <w:spacing w:after="0" w:line="201" w:lineRule="exact"/>
        <w:rPr>
          <w:sz w:val="20"/>
          <w:szCs w:val="20"/>
          <w:color w:val="auto"/>
        </w:rPr>
      </w:pPr>
    </w:p>
    <w:p>
      <w:pPr>
        <w:ind w:left="2740" w:hanging="463"/>
        <w:spacing w:after="0"/>
        <w:tabs>
          <w:tab w:leader="none" w:pos="27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net obligations of such Person under any Swap Contract;</w:t>
      </w:r>
    </w:p>
    <w:p>
      <w:pPr>
        <w:spacing w:after="0" w:line="287" w:lineRule="exact"/>
        <w:rPr>
          <w:rFonts w:ascii="Arial" w:cs="Arial" w:eastAsia="Arial" w:hAnsi="Arial"/>
          <w:sz w:val="22"/>
          <w:szCs w:val="22"/>
          <w:color w:val="auto"/>
        </w:rPr>
      </w:pPr>
    </w:p>
    <w:p>
      <w:pPr>
        <w:ind w:left="660" w:firstLine="1617"/>
        <w:spacing w:after="0" w:line="302" w:lineRule="auto"/>
        <w:tabs>
          <w:tab w:leader="none" w:pos="2773"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all obligations of such Person to pay the deferred purchase price of property or services (other than trade accounts payable in the ordinary course of business);</w:t>
      </w:r>
    </w:p>
    <w:p>
      <w:pPr>
        <w:spacing w:after="0" w:line="200" w:lineRule="exact"/>
        <w:rPr>
          <w:rFonts w:ascii="Arial" w:cs="Arial" w:eastAsia="Arial" w:hAnsi="Arial"/>
          <w:sz w:val="22"/>
          <w:szCs w:val="22"/>
          <w:color w:val="auto"/>
        </w:rPr>
      </w:pPr>
    </w:p>
    <w:p>
      <w:pPr>
        <w:jc w:val="both"/>
        <w:ind w:left="660" w:firstLine="1617"/>
        <w:spacing w:after="0" w:line="311" w:lineRule="auto"/>
        <w:tabs>
          <w:tab w:leader="none" w:pos="2826" w:val="left"/>
        </w:tabs>
        <w:numPr>
          <w:ilvl w:val="0"/>
          <w:numId w:val="90"/>
        </w:numPr>
        <w:rPr>
          <w:rFonts w:ascii="Arial" w:cs="Arial" w:eastAsia="Arial" w:hAnsi="Arial"/>
          <w:sz w:val="21"/>
          <w:szCs w:val="21"/>
          <w:color w:val="auto"/>
        </w:rPr>
      </w:pPr>
      <w:r>
        <w:rPr>
          <w:rFonts w:ascii="Arial" w:cs="Arial" w:eastAsia="Arial" w:hAnsi="Arial"/>
          <w:sz w:val="21"/>
          <w:szCs w:val="21"/>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95" w:lineRule="exact"/>
        <w:rPr>
          <w:rFonts w:ascii="Arial" w:cs="Arial" w:eastAsia="Arial" w:hAnsi="Arial"/>
          <w:sz w:val="21"/>
          <w:szCs w:val="21"/>
          <w:color w:val="auto"/>
        </w:rPr>
      </w:pPr>
    </w:p>
    <w:p>
      <w:pPr>
        <w:ind w:left="660" w:right="20" w:firstLine="1617"/>
        <w:spacing w:after="0" w:line="302" w:lineRule="auto"/>
        <w:tabs>
          <w:tab w:leader="none" w:pos="279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all Attributable Indebtedness in respect of Capitalized Leases and Synthetic Lease Obligations of such Person and all Synthetic Debt of such Person;</w:t>
      </w:r>
    </w:p>
    <w:p>
      <w:pPr>
        <w:spacing w:after="0" w:line="200" w:lineRule="exact"/>
        <w:rPr>
          <w:rFonts w:ascii="Arial" w:cs="Arial" w:eastAsia="Arial" w:hAnsi="Arial"/>
          <w:sz w:val="22"/>
          <w:szCs w:val="22"/>
          <w:color w:val="auto"/>
        </w:rPr>
      </w:pPr>
    </w:p>
    <w:p>
      <w:pPr>
        <w:jc w:val="both"/>
        <w:ind w:left="660" w:firstLine="1617"/>
        <w:spacing w:after="0" w:line="311" w:lineRule="auto"/>
        <w:tabs>
          <w:tab w:leader="none" w:pos="2791"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all obligations of such Person to purchase, redeem, retire, defease or otherwise make any payment in respect of any Equity Interest in such Person, valued, in the case of a redeemable preferred interest, at the greater of its voluntary or involuntary liquidation preference </w:t>
      </w:r>
      <w:r>
        <w:rPr>
          <w:rFonts w:ascii="Arial" w:cs="Arial" w:eastAsia="Arial" w:hAnsi="Arial"/>
          <w:sz w:val="21"/>
          <w:szCs w:val="21"/>
          <w:i w:val="1"/>
          <w:iCs w:val="1"/>
          <w:color w:val="auto"/>
        </w:rPr>
        <w:t>plus</w:t>
      </w:r>
      <w:r>
        <w:rPr>
          <w:rFonts w:ascii="Arial" w:cs="Arial" w:eastAsia="Arial" w:hAnsi="Arial"/>
          <w:sz w:val="21"/>
          <w:szCs w:val="21"/>
          <w:color w:val="auto"/>
        </w:rPr>
        <w:t xml:space="preserve"> accrued and unpaid dividends; and</w:t>
      </w:r>
    </w:p>
    <w:p>
      <w:pPr>
        <w:spacing w:after="0" w:line="195" w:lineRule="exact"/>
        <w:rPr>
          <w:rFonts w:ascii="Arial" w:cs="Arial" w:eastAsia="Arial" w:hAnsi="Arial"/>
          <w:sz w:val="21"/>
          <w:szCs w:val="21"/>
          <w:color w:val="auto"/>
        </w:rPr>
      </w:pPr>
    </w:p>
    <w:p>
      <w:pPr>
        <w:ind w:left="2740" w:hanging="463"/>
        <w:spacing w:after="0"/>
        <w:tabs>
          <w:tab w:leader="none" w:pos="27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all Guaranties of such Person in respect of any of the foregoing.</w:t>
      </w:r>
    </w:p>
    <w:p>
      <w:pPr>
        <w:spacing w:after="0" w:line="2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For all purposes hereof, the Indebtedness of the REIT or any Subsidiary thereof shall include the Consolidated Group Pro Rata Share of the foregoing items and components thereof attributable to Indebtedness of Unconsolidated Affiliates. The amount of any net obligation under any Swap Contract on any date shall be deemed to be the Swap Termination Value thereof as of such date. The amount of any Capitalized Lease or Synthetic Lease Obligation as of any date shall be deemed to be the amount of Attributable Indebtedness in respect thereof as of such date.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“INHAM Exemption” </w:t>
      </w:r>
      <w:r>
        <w:rPr>
          <w:rFonts w:ascii="Arial" w:cs="Arial" w:eastAsia="Arial" w:hAnsi="Arial"/>
          <w:sz w:val="22"/>
          <w:szCs w:val="22"/>
          <w:color w:val="auto"/>
        </w:rPr>
        <w:t>is defined in Section 6.2(e).</w:t>
      </w:r>
    </w:p>
    <w:p>
      <w:pPr>
        <w:spacing w:after="0" w:line="2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“Institutional Investor” </w:t>
      </w:r>
      <w:r>
        <w:rPr>
          <w:rFonts w:ascii="Arial" w:cs="Arial" w:eastAsia="Arial" w:hAnsi="Arial"/>
          <w:sz w:val="22"/>
          <w:szCs w:val="22"/>
          <w:color w:val="auto"/>
        </w:rPr>
        <w:t>means (a) any Purchaser of a Note, (b) any holder of a Note holding (together with one or more of</w:t>
      </w:r>
      <w:r>
        <w:rPr>
          <w:rFonts w:ascii="Arial" w:cs="Arial" w:eastAsia="Arial" w:hAnsi="Arial"/>
          <w:sz w:val="22"/>
          <w:szCs w:val="22"/>
          <w:b w:val="1"/>
          <w:bCs w:val="1"/>
          <w:color w:val="auto"/>
        </w:rPr>
        <w:t xml:space="preserve"> </w:t>
      </w:r>
      <w:r>
        <w:rPr>
          <w:rFonts w:ascii="Arial" w:cs="Arial" w:eastAsia="Arial" w:hAnsi="Arial"/>
          <w:sz w:val="22"/>
          <w:szCs w:val="22"/>
          <w:color w:val="auto"/>
        </w:rPr>
        <w:t>its affiliates) more than 10%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w:t>
      </w:r>
    </w:p>
    <w:p>
      <w:pPr>
        <w:spacing w:after="0" w:line="217"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15</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98" w:name="page99"/>
    <w:bookmarkEnd w:id="98"/>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“Intangible Assets” </w:t>
      </w:r>
      <w:r>
        <w:rPr>
          <w:rFonts w:ascii="Arial" w:cs="Arial" w:eastAsia="Arial" w:hAnsi="Arial"/>
          <w:sz w:val="22"/>
          <w:szCs w:val="22"/>
          <w:color w:val="auto"/>
        </w:rPr>
        <w:t>means assets that are considered to be intangible assets under GAAP, including customer lists,</w:t>
      </w:r>
      <w:r>
        <w:rPr>
          <w:rFonts w:ascii="Arial" w:cs="Arial" w:eastAsia="Arial" w:hAnsi="Arial"/>
          <w:sz w:val="22"/>
          <w:szCs w:val="22"/>
          <w:b w:val="1"/>
          <w:bCs w:val="1"/>
          <w:color w:val="auto"/>
        </w:rPr>
        <w:t xml:space="preserve"> </w:t>
      </w:r>
      <w:r>
        <w:rPr>
          <w:rFonts w:ascii="Arial" w:cs="Arial" w:eastAsia="Arial" w:hAnsi="Arial"/>
          <w:sz w:val="22"/>
          <w:szCs w:val="22"/>
          <w:color w:val="auto"/>
        </w:rPr>
        <w:t>goodwill, computer software, copyrights, trade names, trademarks, patents, franchises, licenses, unamortized deferred charges, unamortized debt discount and capitalized research and development costs.</w:t>
      </w:r>
    </w:p>
    <w:p>
      <w:pPr>
        <w:spacing w:after="0" w:line="205"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9"/>
          <w:szCs w:val="19"/>
          <w:b w:val="1"/>
          <w:bCs w:val="1"/>
          <w:color w:val="auto"/>
        </w:rPr>
        <w:t xml:space="preserve">“Investment” </w:t>
      </w:r>
      <w:r>
        <w:rPr>
          <w:rFonts w:ascii="Arial" w:cs="Arial" w:eastAsia="Arial" w:hAnsi="Arial"/>
          <w:sz w:val="19"/>
          <w:szCs w:val="19"/>
          <w:color w:val="auto"/>
        </w:rPr>
        <w:t>means, as to any Person, any direct or indirect (a) investment by such Person, consisting of (i) the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acquisition of Equity Interests or other securities of another Person or (ii) a loan, advance, other extension of credit or capital contribution to, Guaranty or assumption of debt of, or purchase or other acquisition of any other debt or equity participation or interest in, another Person, including any partnership or joint venture interest in such other Person and any arrangement pursuant to which the investor Guaranties Indebtedness of such other Person, (b) purchase or other acquisition (in one transaction or a series of transactions) of assets of another Person that constitute a business unit or all or a substantial part of the business of, such Person or (c) purchase, acquisition or other investment in any real property or real property-related assets (including, without limitation, mortgage loans and other real estate-related debt investments, investments in unimproved land holdings and Portfolio Properties, and costs to construct real property assets under development). For purposes of covenant compliance, the amount of any Investment shall be the amount actually invested, without adjustment for subsequent increases or decreases in the value of such Investment, but determined net of all payments constituting returns of invested capital received in respect of such Investment and, in the case of a guaranty or similar obligation, such Investment will be reduced to the extent the exposure under such guaranty or similar obligation is reduced.</w:t>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b w:val="1"/>
          <w:bCs w:val="1"/>
          <w:color w:val="auto"/>
        </w:rPr>
        <w:t xml:space="preserve">“Laws” </w:t>
      </w:r>
      <w:r>
        <w:rPr>
          <w:rFonts w:ascii="Arial" w:cs="Arial" w:eastAsia="Arial" w:hAnsi="Arial"/>
          <w:sz w:val="21"/>
          <w:szCs w:val="21"/>
          <w:color w:val="auto"/>
        </w:rPr>
        <w:t>means, collectively, all international, foreign, Federal, state and local statutes, treaties, rules, guidelines,</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9"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“Lien” </w:t>
      </w:r>
      <w:r>
        <w:rPr>
          <w:rFonts w:ascii="Arial" w:cs="Arial" w:eastAsia="Arial" w:hAnsi="Arial"/>
          <w:sz w:val="19"/>
          <w:szCs w:val="19"/>
          <w:color w:val="auto"/>
        </w:rPr>
        <w:t>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“Make-Whole Amount” </w:t>
      </w:r>
      <w:r>
        <w:rPr>
          <w:rFonts w:ascii="Arial" w:cs="Arial" w:eastAsia="Arial" w:hAnsi="Arial"/>
          <w:sz w:val="22"/>
          <w:szCs w:val="22"/>
          <w:color w:val="auto"/>
        </w:rPr>
        <w:t>is defined in Section 8.6.</w:t>
      </w:r>
    </w:p>
    <w:p>
      <w:pPr>
        <w:spacing w:after="0" w:line="293"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16</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99" w:name="page100"/>
    <w:bookmarkEnd w:id="99"/>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“Material” </w:t>
      </w:r>
      <w:r>
        <w:rPr>
          <w:rFonts w:ascii="Arial" w:cs="Arial" w:eastAsia="Arial" w:hAnsi="Arial"/>
          <w:sz w:val="22"/>
          <w:szCs w:val="22"/>
          <w:color w:val="auto"/>
        </w:rPr>
        <w:t>means material in relation to the business, operations, affairs, financial condition, assets, properties, or</w:t>
      </w:r>
      <w:r>
        <w:rPr>
          <w:rFonts w:ascii="Arial" w:cs="Arial" w:eastAsia="Arial" w:hAnsi="Arial"/>
          <w:sz w:val="22"/>
          <w:szCs w:val="22"/>
          <w:b w:val="1"/>
          <w:bCs w:val="1"/>
          <w:color w:val="auto"/>
        </w:rPr>
        <w:t xml:space="preserve"> </w:t>
      </w:r>
      <w:r>
        <w:rPr>
          <w:rFonts w:ascii="Arial" w:cs="Arial" w:eastAsia="Arial" w:hAnsi="Arial"/>
          <w:sz w:val="22"/>
          <w:szCs w:val="22"/>
          <w:color w:val="auto"/>
        </w:rPr>
        <w:t>prospects of the Consolidated Group taken as a whole.</w:t>
      </w:r>
    </w:p>
    <w:p>
      <w:pPr>
        <w:spacing w:after="0" w:line="18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b w:val="1"/>
          <w:bCs w:val="1"/>
          <w:color w:val="auto"/>
        </w:rPr>
        <w:t xml:space="preserve">“Material Adverse Effect” </w:t>
      </w:r>
      <w:r>
        <w:rPr>
          <w:rFonts w:ascii="Arial" w:cs="Arial" w:eastAsia="Arial" w:hAnsi="Arial"/>
          <w:sz w:val="19"/>
          <w:szCs w:val="19"/>
          <w:color w:val="auto"/>
        </w:rPr>
        <w:t>means (a) a material adverse change in, or a material adverse effect upon, the operations,</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assets, properties, liabilities (actual or contingent) or condition (financial or otherwise) of the REIT or the Company and its Subsidiaries, taken as a whole; (b) a material adverse effect on the rights and remedies of the holder under any Note Document, or of the ability of the Company and the Note Parties, taken as a whole, to perform their obligations under any Note Document; or</w:t>
      </w:r>
    </w:p>
    <w:p>
      <w:pPr>
        <w:ind w:firstLine="8"/>
        <w:spacing w:after="0" w:line="302" w:lineRule="auto"/>
        <w:tabs>
          <w:tab w:leader="none" w:pos="339" w:val="left"/>
        </w:tabs>
        <w:numPr>
          <w:ilvl w:val="0"/>
          <w:numId w:val="91"/>
        </w:numPr>
        <w:rPr>
          <w:rFonts w:ascii="Arial" w:cs="Arial" w:eastAsia="Arial" w:hAnsi="Arial"/>
          <w:sz w:val="22"/>
          <w:szCs w:val="22"/>
          <w:color w:val="auto"/>
        </w:rPr>
      </w:pPr>
      <w:r>
        <w:rPr>
          <w:rFonts w:ascii="Arial" w:cs="Arial" w:eastAsia="Arial" w:hAnsi="Arial"/>
          <w:sz w:val="22"/>
          <w:szCs w:val="22"/>
          <w:color w:val="auto"/>
        </w:rPr>
        <w:t>a material adverse effect upon the legality, validity, binding effect or enforceability against any Note Party of any Note Document to which it is a party.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“Maturity Date” </w:t>
      </w:r>
      <w:r>
        <w:rPr>
          <w:rFonts w:ascii="Arial" w:cs="Arial" w:eastAsia="Arial" w:hAnsi="Arial"/>
          <w:sz w:val="22"/>
          <w:szCs w:val="22"/>
          <w:color w:val="auto"/>
        </w:rPr>
        <w:t>is defined in the first paragraph of each Note.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“Memorandum” </w:t>
      </w:r>
      <w:r>
        <w:rPr>
          <w:rFonts w:ascii="Arial" w:cs="Arial" w:eastAsia="Arial" w:hAnsi="Arial"/>
          <w:sz w:val="22"/>
          <w:szCs w:val="22"/>
          <w:color w:val="auto"/>
        </w:rPr>
        <w:t>is defined in Section 5.3.</w:t>
      </w:r>
    </w:p>
    <w:p>
      <w:pPr>
        <w:spacing w:after="0" w:line="287" w:lineRule="exact"/>
        <w:rPr>
          <w:sz w:val="20"/>
          <w:szCs w:val="20"/>
          <w:color w:val="auto"/>
        </w:rPr>
      </w:pPr>
    </w:p>
    <w:p>
      <w:pPr>
        <w:ind w:right="20" w:firstLine="648"/>
        <w:spacing w:after="0" w:line="308" w:lineRule="auto"/>
        <w:rPr>
          <w:sz w:val="20"/>
          <w:szCs w:val="20"/>
          <w:color w:val="auto"/>
        </w:rPr>
      </w:pPr>
      <w:r>
        <w:rPr>
          <w:rFonts w:ascii="Arial" w:cs="Arial" w:eastAsia="Arial" w:hAnsi="Arial"/>
          <w:sz w:val="22"/>
          <w:szCs w:val="22"/>
          <w:b w:val="1"/>
          <w:bCs w:val="1"/>
          <w:color w:val="auto"/>
        </w:rPr>
        <w:t xml:space="preserve">“Moody’s” </w:t>
      </w:r>
      <w:r>
        <w:rPr>
          <w:rFonts w:ascii="Arial" w:cs="Arial" w:eastAsia="Arial" w:hAnsi="Arial"/>
          <w:sz w:val="22"/>
          <w:szCs w:val="22"/>
          <w:color w:val="auto"/>
        </w:rPr>
        <w:t>means Moody’s Investors Service, Inc. and any successor or assignee of the business of such company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of rating debt.</w:t>
      </w:r>
    </w:p>
    <w:p>
      <w:pPr>
        <w:spacing w:after="0" w:line="188" w:lineRule="exact"/>
        <w:rPr>
          <w:sz w:val="20"/>
          <w:szCs w:val="20"/>
          <w:color w:val="auto"/>
        </w:rPr>
      </w:pPr>
    </w:p>
    <w:p>
      <w:pPr>
        <w:ind w:firstLine="648"/>
        <w:spacing w:after="0" w:line="308" w:lineRule="auto"/>
        <w:rPr>
          <w:sz w:val="20"/>
          <w:szCs w:val="20"/>
          <w:color w:val="auto"/>
        </w:rPr>
      </w:pPr>
      <w:r>
        <w:rPr>
          <w:rFonts w:ascii="Arial" w:cs="Arial" w:eastAsia="Arial" w:hAnsi="Arial"/>
          <w:sz w:val="22"/>
          <w:szCs w:val="22"/>
          <w:b w:val="1"/>
          <w:bCs w:val="1"/>
          <w:color w:val="auto"/>
        </w:rPr>
        <w:t xml:space="preserve">“Multiemployer Plan” </w:t>
      </w:r>
      <w:r>
        <w:rPr>
          <w:rFonts w:ascii="Arial" w:cs="Arial" w:eastAsia="Arial" w:hAnsi="Arial"/>
          <w:sz w:val="22"/>
          <w:szCs w:val="22"/>
          <w:color w:val="auto"/>
        </w:rPr>
        <w:t>means any Plan that is a “multiemployer plan” (as such term is defined in section 4001(a)(3) of</w:t>
      </w:r>
      <w:r>
        <w:rPr>
          <w:rFonts w:ascii="Arial" w:cs="Arial" w:eastAsia="Arial" w:hAnsi="Arial"/>
          <w:sz w:val="22"/>
          <w:szCs w:val="22"/>
          <w:b w:val="1"/>
          <w:bCs w:val="1"/>
          <w:color w:val="auto"/>
        </w:rPr>
        <w:t xml:space="preserve"> </w:t>
      </w:r>
      <w:r>
        <w:rPr>
          <w:rFonts w:ascii="Arial" w:cs="Arial" w:eastAsia="Arial" w:hAnsi="Arial"/>
          <w:sz w:val="22"/>
          <w:szCs w:val="22"/>
          <w:color w:val="auto"/>
        </w:rPr>
        <w:t>ERISA).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“NAIC” </w:t>
      </w:r>
      <w:r>
        <w:rPr>
          <w:rFonts w:ascii="Arial" w:cs="Arial" w:eastAsia="Arial" w:hAnsi="Arial"/>
          <w:sz w:val="22"/>
          <w:szCs w:val="22"/>
          <w:color w:val="auto"/>
        </w:rPr>
        <w:t>means the National Association of Insurance Commissioners or any successor thereto.</w:t>
      </w:r>
    </w:p>
    <w:p>
      <w:pPr>
        <w:spacing w:after="0" w:line="287" w:lineRule="exact"/>
        <w:rPr>
          <w:sz w:val="20"/>
          <w:szCs w:val="20"/>
          <w:color w:val="auto"/>
        </w:rPr>
      </w:pPr>
    </w:p>
    <w:p>
      <w:pPr>
        <w:ind w:firstLine="648"/>
        <w:spacing w:after="0" w:line="329" w:lineRule="auto"/>
        <w:rPr>
          <w:sz w:val="20"/>
          <w:szCs w:val="20"/>
          <w:color w:val="auto"/>
        </w:rPr>
      </w:pPr>
      <w:r>
        <w:rPr>
          <w:rFonts w:ascii="Arial" w:cs="Arial" w:eastAsia="Arial" w:hAnsi="Arial"/>
          <w:sz w:val="19"/>
          <w:szCs w:val="19"/>
          <w:b w:val="1"/>
          <w:bCs w:val="1"/>
          <w:color w:val="auto"/>
        </w:rPr>
        <w:t xml:space="preserve">“Net Cash Proceeds” </w:t>
      </w:r>
      <w:r>
        <w:rPr>
          <w:rFonts w:ascii="Arial" w:cs="Arial" w:eastAsia="Arial" w:hAnsi="Arial"/>
          <w:sz w:val="19"/>
          <w:szCs w:val="19"/>
          <w:color w:val="auto"/>
        </w:rPr>
        <w:t>means (a) with respect to any issuance and sale by the REIT of any of its Equity Interests, the excess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(i) the sum of the cash and Cash Equivalents received by the REIT in connection with such issuance and sale, </w:t>
      </w:r>
      <w:r>
        <w:rPr>
          <w:rFonts w:ascii="Arial" w:cs="Arial" w:eastAsia="Arial" w:hAnsi="Arial"/>
          <w:sz w:val="19"/>
          <w:szCs w:val="19"/>
          <w:i w:val="1"/>
          <w:iCs w:val="1"/>
          <w:color w:val="auto"/>
        </w:rPr>
        <w:t>less</w:t>
      </w:r>
    </w:p>
    <w:p>
      <w:pPr>
        <w:spacing w:after="0" w:line="1" w:lineRule="exact"/>
        <w:rPr>
          <w:sz w:val="20"/>
          <w:szCs w:val="20"/>
          <w:color w:val="auto"/>
        </w:rPr>
      </w:pPr>
    </w:p>
    <w:p>
      <w:pPr>
        <w:jc w:val="both"/>
        <w:ind w:firstLine="8"/>
        <w:spacing w:after="0" w:line="299" w:lineRule="auto"/>
        <w:tabs>
          <w:tab w:leader="none" w:pos="360" w:val="left"/>
        </w:tabs>
        <w:numPr>
          <w:ilvl w:val="0"/>
          <w:numId w:val="92"/>
        </w:numPr>
        <w:rPr>
          <w:rFonts w:ascii="Arial" w:cs="Arial" w:eastAsia="Arial" w:hAnsi="Arial"/>
          <w:sz w:val="21"/>
          <w:szCs w:val="21"/>
          <w:color w:val="auto"/>
        </w:rPr>
      </w:pPr>
      <w:r>
        <w:rPr>
          <w:rFonts w:ascii="Arial" w:cs="Arial" w:eastAsia="Arial" w:hAnsi="Arial"/>
          <w:sz w:val="21"/>
          <w:szCs w:val="21"/>
          <w:color w:val="auto"/>
        </w:rPr>
        <w:t>underwriting discounts and commissions, and other reasonable out-of-pocket expenses (including the reasonable fees and disbursements of counsel), incurred by the REIT in connection with such issuance or sale and (b) with respect to any Disposition by the REIT or a Subsidiary thereof, the excess, if any, of (i) the sum of cash and Cash Equivalents received in connection with such transaction over (ii) the sum of (A) the principal amount of any Indebtedness incurred prior to January 9, 2014 (or, in the case of any asset acquired by the REIT or a Subsidiary thereof after January 9, 2014, the principal amount of any Indebtedness incurred on or prior to the date of the acquisition of such asset) that is secured by the applicable asset and that is required to be repaid in connection with such transaction, (B) the expenses incurred by the REIT or such Subsidiary in connection with such transaction and (C) income taxes reasonably estimated to be actually payable within one year of the date of the relevant transaction as a result of any gain recognized in connection therewith.</w:t>
      </w:r>
    </w:p>
    <w:p>
      <w:pPr>
        <w:spacing w:after="0" w:line="210"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17</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100" w:name="page101"/>
    <w:bookmarkEnd w:id="100"/>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“Newly-Acquired Portfolio Property” </w:t>
      </w:r>
      <w:r>
        <w:rPr>
          <w:rFonts w:ascii="Arial" w:cs="Arial" w:eastAsia="Arial" w:hAnsi="Arial"/>
          <w:sz w:val="21"/>
          <w:szCs w:val="21"/>
          <w:color w:val="auto"/>
        </w:rPr>
        <w:t>means, as of any date of determination, any Portfolio Property acquired or ground</w:t>
      </w:r>
      <w:r>
        <w:rPr>
          <w:rFonts w:ascii="Arial" w:cs="Arial" w:eastAsia="Arial" w:hAnsi="Arial"/>
          <w:sz w:val="21"/>
          <w:szCs w:val="21"/>
          <w:b w:val="1"/>
          <w:bCs w:val="1"/>
          <w:color w:val="auto"/>
        </w:rPr>
        <w:t xml:space="preserve"> </w:t>
      </w:r>
      <w:r>
        <w:rPr>
          <w:rFonts w:ascii="Arial" w:cs="Arial" w:eastAsia="Arial" w:hAnsi="Arial"/>
          <w:sz w:val="21"/>
          <w:szCs w:val="21"/>
          <w:color w:val="auto"/>
        </w:rPr>
        <w:t>leased pursuant to an Eligible Ground Lease by any member of the Consolidated Group from a Person that was not a member of the Consolidated Group during the then most recently ended two consecutive fiscal quarter period of the REIT for which financial statements have been provided to the holders pursuant to Section 7.1(a) or (b).</w:t>
      </w:r>
    </w:p>
    <w:p>
      <w:pPr>
        <w:spacing w:after="0" w:line="192"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b w:val="1"/>
          <w:bCs w:val="1"/>
          <w:color w:val="auto"/>
        </w:rPr>
        <w:t xml:space="preserve">“Nonrecourse Indebtedness” </w:t>
      </w:r>
      <w:r>
        <w:rPr>
          <w:rFonts w:ascii="Arial" w:cs="Arial" w:eastAsia="Arial" w:hAnsi="Arial"/>
          <w:sz w:val="19"/>
          <w:szCs w:val="19"/>
          <w:color w:val="auto"/>
        </w:rPr>
        <w:t>means, with respect to a Person, (a) Indebtedness, or a Guaranty of Indebtedness, in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of which recourse for payment (except for customary exceptions for fraud, misrepresentation, misapplication of cash, waste, environmental claims and liabilities, prohibited transfers, violations of single purpose entity covenants, and other circumstances customarily excluded by institutional lenders from exculpation provisions and/or included in separate guaranty or indemnification agreements in non-recourse or tax-exempt financings of real estate, including those set forth on Schedule E) is contractually limited to specific assets of such Person encumbered by a Lien securing such Indebtedness or Guaranty, (b) if such Person is a Single Asset Entity, any Indebtedness of such Person (other than Indebtedness described in the immediately following clause (c)), or (c) if such Person is a Single Asset Holding Company, any Indebtedness (</w:t>
      </w:r>
      <w:r>
        <w:rPr>
          <w:rFonts w:ascii="Arial" w:cs="Arial" w:eastAsia="Arial" w:hAnsi="Arial"/>
          <w:sz w:val="19"/>
          <w:szCs w:val="19"/>
          <w:i w:val="1"/>
          <w:iCs w:val="1"/>
          <w:color w:val="auto"/>
        </w:rPr>
        <w:t>“Holdco Indebtedness”</w:t>
      </w:r>
      <w:r>
        <w:rPr>
          <w:rFonts w:ascii="Arial" w:cs="Arial" w:eastAsia="Arial" w:hAnsi="Arial"/>
          <w:sz w:val="19"/>
          <w:szCs w:val="19"/>
          <w:color w:val="auto"/>
        </w:rPr>
        <w:t>) of such Single Asset Holding Company resulting from a Guaranty of, or Lien securing, Indebtedness of a Single Asset Entity that is a Subsidiary of such Single Asset Holding Company, so long as, in each case, either (i) recourse for payment of such Holdco Indebtedness (except for customary exceptions for fraud, misrepresentation, misapplication of cash, waste, environmental claims and liabilities, prohibited transfers, violations of single purpose entity covenants, and other circumstances customarily excluded by institutional lenders from exculpation provisions and/or included in separate guaranty or indemnification agreements in non-recourse or tax-exempt financings of real estate, including those set forth on Schedule F) is contractually limited to the Equity Interests held by such Single Asset Holding Company in such Single Asset Entity or (ii) such Single Asset Holding Company has no assets other than Equity Interests in such Single Asset Entity and cash and other assets of nominal value incidental to the ownership of the such Single Asset Entity.</w:t>
      </w:r>
    </w:p>
    <w:p>
      <w:pPr>
        <w:spacing w:after="0" w:line="200" w:lineRule="exact"/>
        <w:rPr>
          <w:sz w:val="20"/>
          <w:szCs w:val="20"/>
          <w:color w:val="auto"/>
        </w:rPr>
      </w:pPr>
    </w:p>
    <w:p>
      <w:pPr>
        <w:spacing w:after="0" w:line="287"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9"/>
          <w:szCs w:val="19"/>
          <w:b w:val="1"/>
          <w:bCs w:val="1"/>
          <w:color w:val="auto"/>
        </w:rPr>
        <w:t xml:space="preserve">“Non-Stabilized Portfolio Property” </w:t>
      </w:r>
      <w:r>
        <w:rPr>
          <w:rFonts w:ascii="Arial" w:cs="Arial" w:eastAsia="Arial" w:hAnsi="Arial"/>
          <w:sz w:val="19"/>
          <w:szCs w:val="19"/>
          <w:color w:val="auto"/>
        </w:rPr>
        <w:t>means, as of any date of determination, any Portfolio Property (i) that was previously</w:t>
      </w:r>
      <w:r>
        <w:rPr>
          <w:rFonts w:ascii="Arial" w:cs="Arial" w:eastAsia="Arial" w:hAnsi="Arial"/>
          <w:sz w:val="19"/>
          <w:szCs w:val="19"/>
          <w:b w:val="1"/>
          <w:bCs w:val="1"/>
          <w:color w:val="auto"/>
        </w:rPr>
        <w:t xml:space="preserve"> </w:t>
      </w:r>
      <w:r>
        <w:rPr>
          <w:rFonts w:ascii="Arial" w:cs="Arial" w:eastAsia="Arial" w:hAnsi="Arial"/>
          <w:sz w:val="19"/>
          <w:szCs w:val="19"/>
          <w:color w:val="auto"/>
        </w:rPr>
        <w:t>(but is no longer) under development and in which an Investment was made by the REIT or a Subsidiary thereof after January 9, 2014 pursuant to Section 10.7(e) and (ii) in respect of which the Stabilization Date has not occurred on or prior to such date.</w:t>
      </w:r>
    </w:p>
    <w:p>
      <w:pPr>
        <w:spacing w:after="0" w:line="15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“Note Documents” </w:t>
      </w:r>
      <w:r>
        <w:rPr>
          <w:rFonts w:ascii="Arial" w:cs="Arial" w:eastAsia="Arial" w:hAnsi="Arial"/>
          <w:sz w:val="22"/>
          <w:szCs w:val="22"/>
          <w:color w:val="auto"/>
        </w:rPr>
        <w:t>means this Agreement, each Note, the Affiliate Guaranty, and such other documents evidencing,</w:t>
      </w:r>
      <w:r>
        <w:rPr>
          <w:rFonts w:ascii="Arial" w:cs="Arial" w:eastAsia="Arial" w:hAnsi="Arial"/>
          <w:sz w:val="22"/>
          <w:szCs w:val="22"/>
          <w:b w:val="1"/>
          <w:bCs w:val="1"/>
          <w:color w:val="auto"/>
        </w:rPr>
        <w:t xml:space="preserve"> </w:t>
      </w:r>
      <w:r>
        <w:rPr>
          <w:rFonts w:ascii="Arial" w:cs="Arial" w:eastAsia="Arial" w:hAnsi="Arial"/>
          <w:sz w:val="22"/>
          <w:szCs w:val="22"/>
          <w:color w:val="auto"/>
        </w:rPr>
        <w:t>securing or pertaining to this Agreement, the Affiliate Guaranty, or the Notes as shall, from time to time, be executed and/or delivered by any Note Party, or any other party to the holders of the Notes pursuant to this Agreement or any other Note Document (in each</w:t>
      </w:r>
    </w:p>
    <w:p>
      <w:pPr>
        <w:spacing w:after="0" w:line="215"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18</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101" w:name="page102"/>
    <w:bookmarkEnd w:id="101"/>
    <w:p>
      <w:pPr>
        <w:spacing w:after="0"/>
        <w:rPr>
          <w:sz w:val="20"/>
          <w:szCs w:val="20"/>
          <w:color w:val="auto"/>
        </w:rPr>
      </w:pPr>
      <w:r>
        <w:rPr>
          <w:rFonts w:ascii="Arial" w:cs="Arial" w:eastAsia="Arial" w:hAnsi="Arial"/>
          <w:sz w:val="21"/>
          <w:szCs w:val="21"/>
          <w:color w:val="auto"/>
        </w:rPr>
        <w:t>case as the same may be amended, modified, restated, supplemented, extended, renewed or replaced from time to time).</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“Note Parties” </w:t>
      </w:r>
      <w:r>
        <w:rPr>
          <w:rFonts w:ascii="Arial" w:cs="Arial" w:eastAsia="Arial" w:hAnsi="Arial"/>
          <w:sz w:val="22"/>
          <w:szCs w:val="22"/>
          <w:color w:val="auto"/>
        </w:rPr>
        <w:t>means, collectively, the Company and each Guarantor.</w:t>
      </w:r>
    </w:p>
    <w:p>
      <w:pPr>
        <w:spacing w:after="0" w:line="28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“Note Party Pro Rata Share” </w:t>
      </w:r>
      <w:r>
        <w:rPr>
          <w:rFonts w:ascii="Arial" w:cs="Arial" w:eastAsia="Arial" w:hAnsi="Arial"/>
          <w:sz w:val="22"/>
          <w:szCs w:val="22"/>
          <w:color w:val="auto"/>
        </w:rPr>
        <w:t>means, with respect to any Controlled Joint Venture, the percentage interest held by the Note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in the aggregate, in such Controlled Joint Venture determined by calculating the percentage of Equity Interests of such Controlled Joint Venture owned, directly or indirectly, by the Note Parties.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“Notes” </w:t>
      </w:r>
      <w:r>
        <w:rPr>
          <w:rFonts w:ascii="Arial" w:cs="Arial" w:eastAsia="Arial" w:hAnsi="Arial"/>
          <w:sz w:val="22"/>
          <w:szCs w:val="22"/>
          <w:color w:val="auto"/>
        </w:rPr>
        <w:t>is defined in Section 1.</w:t>
      </w:r>
    </w:p>
    <w:p>
      <w:pPr>
        <w:spacing w:after="0" w:line="28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b w:val="1"/>
          <w:bCs w:val="1"/>
          <w:color w:val="auto"/>
        </w:rPr>
        <w:t xml:space="preserve">“Obligations” </w:t>
      </w:r>
      <w:r>
        <w:rPr>
          <w:rFonts w:ascii="Arial" w:cs="Arial" w:eastAsia="Arial" w:hAnsi="Arial"/>
          <w:sz w:val="19"/>
          <w:szCs w:val="19"/>
          <w:color w:val="auto"/>
        </w:rPr>
        <w:t>means all advances to, and debts, liabilities, obligations, covenants and duties of, any Note Party arising</w:t>
      </w:r>
      <w:r>
        <w:rPr>
          <w:rFonts w:ascii="Arial" w:cs="Arial" w:eastAsia="Arial" w:hAnsi="Arial"/>
          <w:sz w:val="19"/>
          <w:szCs w:val="19"/>
          <w:b w:val="1"/>
          <w:bCs w:val="1"/>
          <w:color w:val="auto"/>
        </w:rPr>
        <w:t xml:space="preserve"> </w:t>
      </w:r>
      <w:r>
        <w:rPr>
          <w:rFonts w:ascii="Arial" w:cs="Arial" w:eastAsia="Arial" w:hAnsi="Arial"/>
          <w:sz w:val="19"/>
          <w:szCs w:val="19"/>
          <w:color w:val="auto"/>
        </w:rPr>
        <w:t>under any Note Document whether direct or indirect (including those acquired by assumption), absolute or contingent, due or to become due, now existing or hereafter arising and including interest and fees that accrue after the commencement by or against any Note Party or any Affiliate thereof of any proceeding under any Debtor Relief Laws naming such Person as the debtor in such proceeding, regardless of whether such interest and fees are allowed claims in such proceeding.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“OFAC” </w:t>
      </w:r>
      <w:r>
        <w:rPr>
          <w:rFonts w:ascii="Arial" w:cs="Arial" w:eastAsia="Arial" w:hAnsi="Arial"/>
          <w:sz w:val="22"/>
          <w:szCs w:val="22"/>
          <w:color w:val="auto"/>
        </w:rPr>
        <w:t>is defined in Section 5.16(a).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“OFAC Listed Person” </w:t>
      </w:r>
      <w:r>
        <w:rPr>
          <w:rFonts w:ascii="Arial" w:cs="Arial" w:eastAsia="Arial" w:hAnsi="Arial"/>
          <w:sz w:val="22"/>
          <w:szCs w:val="22"/>
          <w:color w:val="auto"/>
        </w:rPr>
        <w:t>is defined in Section 5.16(a).</w:t>
      </w:r>
    </w:p>
    <w:p>
      <w:pPr>
        <w:spacing w:after="0" w:line="28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“OFAC Sanctions Program” </w:t>
      </w:r>
      <w:r>
        <w:rPr>
          <w:rFonts w:ascii="Arial" w:cs="Arial" w:eastAsia="Arial" w:hAnsi="Arial"/>
          <w:sz w:val="22"/>
          <w:szCs w:val="22"/>
          <w:color w:val="auto"/>
        </w:rPr>
        <w:t>means any economic or trade sanction that OFAC is responsible for administering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enforcing. A list of OFAC Sanctions Programs may be found at </w:t>
      </w:r>
      <w:r>
        <w:rPr>
          <w:rFonts w:ascii="Arial" w:cs="Arial" w:eastAsia="Arial" w:hAnsi="Arial"/>
          <w:sz w:val="22"/>
          <w:szCs w:val="22"/>
          <w:u w:val="single" w:color="auto"/>
          <w:color w:val="0000FF"/>
        </w:rPr>
        <w:t>http://www.treasury.gov/resource-center/sanctions/Programs/Pages/Programs.aspx</w:t>
      </w:r>
      <w:r>
        <w:rPr>
          <w:rFonts w:ascii="Arial" w:cs="Arial" w:eastAsia="Arial" w:hAnsi="Arial"/>
          <w:sz w:val="22"/>
          <w:szCs w:val="22"/>
          <w:color w:val="000000"/>
        </w:rPr>
        <w:t>.</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“Officer’s Certificate” </w:t>
      </w:r>
      <w:r>
        <w:rPr>
          <w:rFonts w:ascii="Arial" w:cs="Arial" w:eastAsia="Arial" w:hAnsi="Arial"/>
          <w:sz w:val="22"/>
          <w:szCs w:val="22"/>
          <w:color w:val="auto"/>
        </w:rPr>
        <w:t>means a certificate of a Senior Financial Officer or of any other officer of the REIT or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whose responsibilities extend to the subject matter of such certificate.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“Pari Passu Obligations” </w:t>
      </w:r>
      <w:r>
        <w:rPr>
          <w:rFonts w:ascii="Arial" w:cs="Arial" w:eastAsia="Arial" w:hAnsi="Arial"/>
          <w:sz w:val="22"/>
          <w:szCs w:val="22"/>
          <w:color w:val="auto"/>
        </w:rPr>
        <w:t>means Unsecured Indebtedness (exclusive of the Obligations) of the Company or any Guarantor</w:t>
      </w:r>
      <w:r>
        <w:rPr>
          <w:rFonts w:ascii="Arial" w:cs="Arial" w:eastAsia="Arial" w:hAnsi="Arial"/>
          <w:sz w:val="22"/>
          <w:szCs w:val="22"/>
          <w:b w:val="1"/>
          <w:bCs w:val="1"/>
          <w:color w:val="auto"/>
        </w:rPr>
        <w:t xml:space="preserve"> </w:t>
      </w:r>
      <w:r>
        <w:rPr>
          <w:rFonts w:ascii="Arial" w:cs="Arial" w:eastAsia="Arial" w:hAnsi="Arial"/>
          <w:sz w:val="22"/>
          <w:szCs w:val="22"/>
          <w:color w:val="auto"/>
        </w:rPr>
        <w:t>owing to Persons that are not members of the Consolidated Group.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“PBGC” </w:t>
      </w:r>
      <w:r>
        <w:rPr>
          <w:rFonts w:ascii="Arial" w:cs="Arial" w:eastAsia="Arial" w:hAnsi="Arial"/>
          <w:sz w:val="19"/>
          <w:szCs w:val="19"/>
          <w:color w:val="auto"/>
        </w:rPr>
        <w:t>means the Pension Benefit Guaranty Corporation referred to and defined in ERISA or any successor thereto.</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“Permitted Holders” </w:t>
      </w:r>
      <w:r>
        <w:rPr>
          <w:rFonts w:ascii="Arial" w:cs="Arial" w:eastAsia="Arial" w:hAnsi="Arial"/>
          <w:sz w:val="22"/>
          <w:szCs w:val="22"/>
          <w:color w:val="auto"/>
        </w:rPr>
        <w:t>means Ernest S. Rady and the Rady Affiliates.</w:t>
      </w:r>
    </w:p>
    <w:p>
      <w:pPr>
        <w:spacing w:after="0" w:line="293"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19</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102" w:name="page103"/>
    <w:bookmarkEnd w:id="102"/>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“Permitted Investments” </w:t>
      </w:r>
      <w:r>
        <w:rPr>
          <w:rFonts w:ascii="Arial" w:cs="Arial" w:eastAsia="Arial" w:hAnsi="Arial"/>
          <w:sz w:val="22"/>
          <w:szCs w:val="22"/>
          <w:color w:val="auto"/>
        </w:rPr>
        <w:t>means Investments by the REIT, the Company or any of their respective Subsidiaries made</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10.6(b)(iii), (c), (d), or (e).</w:t>
      </w:r>
    </w:p>
    <w:p>
      <w:pPr>
        <w:spacing w:after="0" w:line="18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b w:val="1"/>
          <w:bCs w:val="1"/>
          <w:color w:val="auto"/>
        </w:rPr>
        <w:t xml:space="preserve">“Permitted Judgment Liens” </w:t>
      </w:r>
      <w:r>
        <w:rPr>
          <w:rFonts w:ascii="Arial" w:cs="Arial" w:eastAsia="Arial" w:hAnsi="Arial"/>
          <w:sz w:val="21"/>
          <w:szCs w:val="21"/>
          <w:color w:val="auto"/>
        </w:rPr>
        <w:t>means Liens permitted under Section 10.4(g) (solely to the extent the aggregate amount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judgments secured by such Liens under Section 10.4(g) encumbering (x) Unencumbered Eligible Properties (and the income therefrom and proceeds thereof) and (y) the Equity Interests of any Subsidiary that owns or ground leases an Unencumbered Eligible Property (and any Subsidiary of the Company that directly or indirectly owns any Equity Interests in such Subsidiary) (and the income therefrom and proceeds thereof) does not exceed $10,000,000).</w:t>
      </w:r>
    </w:p>
    <w:p>
      <w:pPr>
        <w:spacing w:after="0" w:line="199"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9"/>
          <w:szCs w:val="19"/>
          <w:b w:val="1"/>
          <w:bCs w:val="1"/>
          <w:color w:val="auto"/>
        </w:rPr>
        <w:t xml:space="preserve">“Permitted Pari Passu Encumbrances” </w:t>
      </w:r>
      <w:r>
        <w:rPr>
          <w:rFonts w:ascii="Arial" w:cs="Arial" w:eastAsia="Arial" w:hAnsi="Arial"/>
          <w:sz w:val="19"/>
          <w:szCs w:val="19"/>
          <w:color w:val="auto"/>
        </w:rPr>
        <w:t>means encumbrances that are contained in documentation evidencing or</w:t>
      </w:r>
      <w:r>
        <w:rPr>
          <w:rFonts w:ascii="Arial" w:cs="Arial" w:eastAsia="Arial" w:hAnsi="Arial"/>
          <w:sz w:val="19"/>
          <w:szCs w:val="19"/>
          <w:b w:val="1"/>
          <w:bCs w:val="1"/>
          <w:color w:val="auto"/>
        </w:rPr>
        <w:t xml:space="preserve"> </w:t>
      </w:r>
      <w:r>
        <w:rPr>
          <w:rFonts w:ascii="Arial" w:cs="Arial" w:eastAsia="Arial" w:hAnsi="Arial"/>
          <w:sz w:val="19"/>
          <w:szCs w:val="19"/>
          <w:color w:val="auto"/>
        </w:rPr>
        <w:t>governing Pari Passu Obligations which encumbrances are the result of (i) limitations on the ability of the REIT or any Subsidiary thereof to transfer property to the Company or any Guarantor, (ii) limitations on the ability of the REIT or any Subsidiary to create, incur, assume or suffer to exist Liens on Unencumbered Eligible Properties or the Equity Interests of any Person that owns, or ground leases under an Eligible Ground Lease, an Unencumbered Eligible Property (or the Equity Interest of any Subsidiary of the Company that directly or indirectly owns any Equity Interests in such Person) or (iii) any requirement that Pari Passu Obligations be secured on an “equal and ratable basis” to the extent that the Obligations are secured.</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“Permitted Subsidiary Guarantor Release” </w:t>
      </w:r>
      <w:r>
        <w:rPr>
          <w:rFonts w:ascii="Arial" w:cs="Arial" w:eastAsia="Arial" w:hAnsi="Arial"/>
          <w:sz w:val="22"/>
          <w:szCs w:val="22"/>
          <w:color w:val="auto"/>
        </w:rPr>
        <w:t>means the date as of which all Subsidiary Guarantors shall have been</w:t>
      </w:r>
      <w:r>
        <w:rPr>
          <w:rFonts w:ascii="Arial" w:cs="Arial" w:eastAsia="Arial" w:hAnsi="Arial"/>
          <w:sz w:val="22"/>
          <w:szCs w:val="22"/>
          <w:b w:val="1"/>
          <w:bCs w:val="1"/>
          <w:color w:val="auto"/>
        </w:rPr>
        <w:t xml:space="preserve"> </w:t>
      </w:r>
      <w:r>
        <w:rPr>
          <w:rFonts w:ascii="Arial" w:cs="Arial" w:eastAsia="Arial" w:hAnsi="Arial"/>
          <w:sz w:val="22"/>
          <w:szCs w:val="22"/>
          <w:color w:val="auto"/>
        </w:rPr>
        <w:t>released from their obligations under this Agreement in accordance with Section 9.7.</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“Permitted Unencumbered Property Liens” </w:t>
      </w:r>
      <w:r>
        <w:rPr>
          <w:rFonts w:ascii="Arial" w:cs="Arial" w:eastAsia="Arial" w:hAnsi="Arial"/>
          <w:sz w:val="22"/>
          <w:szCs w:val="22"/>
          <w:color w:val="auto"/>
        </w:rPr>
        <w:t>means Liens permitted under Section 10.4(a), (b), (c), (f) and (h) and</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Judgment Liens and Permitted Pari Passu Encumbrances.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means an individual, partnership, corporation, limited liability company, association, trust, unincorporated</w:t>
      </w:r>
      <w:r>
        <w:rPr>
          <w:rFonts w:ascii="Arial" w:cs="Arial" w:eastAsia="Arial" w:hAnsi="Arial"/>
          <w:sz w:val="22"/>
          <w:szCs w:val="22"/>
          <w:b w:val="1"/>
          <w:bCs w:val="1"/>
          <w:color w:val="auto"/>
        </w:rPr>
        <w:t xml:space="preserve"> </w:t>
      </w:r>
      <w:r>
        <w:rPr>
          <w:rFonts w:ascii="Arial" w:cs="Arial" w:eastAsia="Arial" w:hAnsi="Arial"/>
          <w:sz w:val="22"/>
          <w:szCs w:val="22"/>
          <w:color w:val="auto"/>
        </w:rPr>
        <w:t>organization, business entity or Governmental Authority.</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means an “employee benefit plan” (as defined in section 3(3) of ERISA) subject to Title I of ERISA that is or,</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the preceding five years, has been established or maintained, or to which contributions are or, within the preceding five years, have been made or required to be made, by any Note Party or any ERISA Affiliate or with respect to which any Note Party or any ERISA Affiliate may have any liability.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“Portfolio Property” </w:t>
      </w:r>
      <w:r>
        <w:rPr>
          <w:rFonts w:ascii="Arial" w:cs="Arial" w:eastAsia="Arial" w:hAnsi="Arial"/>
          <w:sz w:val="22"/>
          <w:szCs w:val="22"/>
          <w:color w:val="auto"/>
        </w:rPr>
        <w:t>means any real property owned or ground leased by a Subsidiary of the Company.</w:t>
      </w:r>
    </w:p>
    <w:p>
      <w:pPr>
        <w:spacing w:after="0" w:line="293"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20</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103" w:name="page104"/>
    <w:bookmarkEnd w:id="103"/>
    <w:p>
      <w:pPr>
        <w:jc w:val="both"/>
        <w:ind w:firstLine="648"/>
        <w:spacing w:after="0" w:line="329" w:lineRule="auto"/>
        <w:rPr>
          <w:sz w:val="20"/>
          <w:szCs w:val="20"/>
          <w:color w:val="auto"/>
        </w:rPr>
      </w:pPr>
      <w:r>
        <w:rPr>
          <w:rFonts w:ascii="Arial" w:cs="Arial" w:eastAsia="Arial" w:hAnsi="Arial"/>
          <w:sz w:val="19"/>
          <w:szCs w:val="19"/>
          <w:b w:val="1"/>
          <w:bCs w:val="1"/>
          <w:color w:val="auto"/>
        </w:rPr>
        <w:t xml:space="preserve">“Portfolio Property Net Operating Income” </w:t>
      </w:r>
      <w:r>
        <w:rPr>
          <w:rFonts w:ascii="Arial" w:cs="Arial" w:eastAsia="Arial" w:hAnsi="Arial"/>
          <w:sz w:val="19"/>
          <w:szCs w:val="19"/>
          <w:color w:val="auto"/>
        </w:rPr>
        <w:t>means, with respect to any Portfolio Property for any fiscal quarter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REIT, an amount equal to (i) the aggregate gross revenues from the operation of such Portfolio Property from tenants in occupancy and paying rent during such fiscal quarter (or, in the case of a Hotel Property, from the operation of such Portfolio Property during such fiscal quarter),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all expenses and other proper charges incurred during such fiscal quarter in connection with the operation of such Portfolio Property (including accruals for real estate taxes and insurance, but excluding any management fees, debt service charges, income taxes, depreciation, amortization and other non-cash expenses (including, without limitation, non-cash write-offs (including with respect to straight line rents) and mark-to-market adjustments)), which expenses and accruals shall be calculated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in the case of a Hotel Property that has been owned, or ground leased under an Eligible Ground Lease, by one or more Subsidiaries of the Company for at least four consecutive full fiscal quarters for which financial statements have been provided to the holders pursuant to Section 7.1(a) or (b), the Portfolio Property Net Operating Income of such Hotel Property shall be, for any fiscal quarter of the REIT, the average quarterly Portfolio Property Net Operating Income for the four consecutive full fiscal quarter period ending on the last day of such fiscal quarter of the REIT (with the Portfolio Property Net Operating Income for each fiscal quarter included in such four fiscal quarter period being determined in accordance with this definition without giving effect to this proviso) and (ii) in the case of a Hotel Property that has not been owned, or ground leased under an Eligible Ground Lease, by one or more Subsidiaries of the Company for at least four consecutive full fiscal quarters for which financial statements have been provided to the holders pursuant to Section 7.1(a) or (b), the Portfolio Property Net Operating Income of such Hotel Property shall be, for any fiscal quarter of the REIT, the average quarterly Portfolio Property Net Operating Income for the period consisting of all of the full fiscal quarters commencing after the date such Hotel Property was acquired (or after an Eligible Ground Lease is entered into with respect to such Hotel Property, if applicable) by a Subsidiary of the Company for which financial statements have been provided to the holders pursuant to Section 7.1(a) or (b) (with the Portfolio Property Net Operating Income for each fiscal quarter included in such period being determined in accordance with this definition without giving effect to this proviso). For purposes of this definition, in the case of any Portfolio Property that is owned, or ground leased pursuant to an Eligible Ground Lease, by one or more Subsidiaries of the Company for at least one full fiscal month of the REIT but less than one full fiscal quarter for which financial statements have been provided to the holders pursuant to Section 7.1(a) or (b), the Portfolio Property Net Operating Income of such Portfolio Property shall equal (x) if such Portfolio Property is owned, or ground leased pursuant to an Eligible Ground Lease, for less than two full fiscal months of the REIT, the Portfolio Property Net Operating Income of such Portfolio Property calculated with respect to the then most recently ended fiscal month of the REIT (instead of on the basis of a fiscal quarter as otherwise contemplated herein), multiplied by 3 and</w:t>
      </w:r>
    </w:p>
    <w:p>
      <w:pPr>
        <w:spacing w:after="0" w:line="238" w:lineRule="exact"/>
        <w:rPr>
          <w:sz w:val="20"/>
          <w:szCs w:val="20"/>
          <w:color w:val="auto"/>
        </w:rPr>
      </w:pPr>
    </w:p>
    <w:p>
      <w:pPr>
        <w:ind w:left="7640" w:right="280" w:hanging="7632"/>
        <w:spacing w:after="0" w:line="407" w:lineRule="exact"/>
        <w:tabs>
          <w:tab w:leader="none" w:pos="313"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if such Portfolio Property is owned, or ground leased pursuant to an Eligible Ground Lease, for at least two full fiscal months </w:t>
      </w:r>
      <w:r>
        <w:rPr>
          <w:rFonts w:ascii="MS PGothic" w:cs="MS PGothic" w:eastAsia="MS PGothic" w:hAnsi="MS PGothic"/>
          <w:sz w:val="22"/>
          <w:szCs w:val="22"/>
          <w:color w:val="auto"/>
        </w:rPr>
        <w:t>‑</w:t>
      </w:r>
      <w:r>
        <w:rPr>
          <w:rFonts w:ascii="Arial" w:cs="Arial" w:eastAsia="Arial" w:hAnsi="Arial"/>
          <w:sz w:val="22"/>
          <w:szCs w:val="22"/>
          <w:color w:val="auto"/>
        </w:rPr>
        <w:t>21</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104" w:name="page105"/>
    <w:bookmarkEnd w:id="104"/>
    <w:p>
      <w:pPr>
        <w:jc w:val="both"/>
        <w:spacing w:after="0" w:line="303" w:lineRule="auto"/>
        <w:rPr>
          <w:sz w:val="20"/>
          <w:szCs w:val="20"/>
          <w:color w:val="auto"/>
        </w:rPr>
      </w:pPr>
      <w:r>
        <w:rPr>
          <w:rFonts w:ascii="Arial" w:cs="Arial" w:eastAsia="Arial" w:hAnsi="Arial"/>
          <w:sz w:val="21"/>
          <w:szCs w:val="21"/>
          <w:color w:val="auto"/>
        </w:rPr>
        <w:t>of the REIT, the Portfolio Property Net Operating Income of such Portfolio Property calculated with respect to the then most recently ended two fiscal month period of the REIT (instead of on the basis of a fiscal quarter as otherwise contemplated herein), multiplied by 3/2. For the avoidance of doubt, for purposes of this definition, the Portfolio Property Net Operating Income of any Portfolio Property that is owned, or ground leased pursuant to an Eligible Ground Lease, by one or more Subsidiaries of the Company for less than one full fiscal month of the REIT shall be $0.</w:t>
      </w:r>
    </w:p>
    <w:p>
      <w:pPr>
        <w:spacing w:after="0" w:line="19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“Primary Credit Facility” </w:t>
      </w:r>
      <w:r>
        <w:rPr>
          <w:rFonts w:ascii="Arial" w:cs="Arial" w:eastAsia="Arial" w:hAnsi="Arial"/>
          <w:sz w:val="21"/>
          <w:szCs w:val="21"/>
          <w:color w:val="auto"/>
        </w:rPr>
        <w:t>means the Amended and Restated Credit Agreement dated as of January 9, 2014, among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as the borrower, the REIT, as guarantor, Bank of America, N.A., as Administrative Agent, Swing Line Lender and L/C Issuer and the other lenders party thereto, including any renewals, extensions, amendments, supplements, restatements, replacements, increases or refinancing thereof (whether such renewal, extension, amendment, restatement, replacement, increases or refinancing of such agreement is entered into substantially concurrently with the termination of the existing agreement or at any time before or after if no new agreement is then substantially concurrently entered into).</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“property” </w:t>
      </w:r>
      <w:r>
        <w:rPr>
          <w:rFonts w:ascii="Arial" w:cs="Arial" w:eastAsia="Arial" w:hAnsi="Arial"/>
          <w:sz w:val="22"/>
          <w:szCs w:val="22"/>
          <w:color w:val="auto"/>
        </w:rPr>
        <w:t>or</w:t>
      </w:r>
      <w:r>
        <w:rPr>
          <w:rFonts w:ascii="Arial" w:cs="Arial" w:eastAsia="Arial" w:hAnsi="Arial"/>
          <w:sz w:val="22"/>
          <w:szCs w:val="22"/>
          <w:b w:val="1"/>
          <w:bCs w:val="1"/>
          <w:color w:val="auto"/>
        </w:rPr>
        <w:t xml:space="preserve"> “properties” </w:t>
      </w:r>
      <w:r>
        <w:rPr>
          <w:rFonts w:ascii="Arial" w:cs="Arial" w:eastAsia="Arial" w:hAnsi="Arial"/>
          <w:sz w:val="22"/>
          <w:szCs w:val="22"/>
          <w:color w:val="auto"/>
        </w:rPr>
        <w:t>means, unless otherwise specifically limited, real or personal property of any kind, tangible or</w:t>
      </w:r>
      <w:r>
        <w:rPr>
          <w:rFonts w:ascii="Arial" w:cs="Arial" w:eastAsia="Arial" w:hAnsi="Arial"/>
          <w:sz w:val="22"/>
          <w:szCs w:val="22"/>
          <w:b w:val="1"/>
          <w:bCs w:val="1"/>
          <w:color w:val="auto"/>
        </w:rPr>
        <w:t xml:space="preserve"> </w:t>
      </w:r>
      <w:r>
        <w:rPr>
          <w:rFonts w:ascii="Arial" w:cs="Arial" w:eastAsia="Arial" w:hAnsi="Arial"/>
          <w:sz w:val="22"/>
          <w:szCs w:val="22"/>
          <w:color w:val="auto"/>
        </w:rPr>
        <w:t>intangible, choate or inchoate.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“PTE” </w:t>
      </w:r>
      <w:r>
        <w:rPr>
          <w:rFonts w:ascii="Arial" w:cs="Arial" w:eastAsia="Arial" w:hAnsi="Arial"/>
          <w:sz w:val="22"/>
          <w:szCs w:val="22"/>
          <w:color w:val="auto"/>
        </w:rPr>
        <w:t>is defined in Section 6.2(a).</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or</w:t>
      </w:r>
      <w:r>
        <w:rPr>
          <w:rFonts w:ascii="Arial" w:cs="Arial" w:eastAsia="Arial" w:hAnsi="Arial"/>
          <w:sz w:val="21"/>
          <w:szCs w:val="21"/>
          <w:b w:val="1"/>
          <w:bCs w:val="1"/>
          <w:color w:val="auto"/>
        </w:rPr>
        <w:t xml:space="preserve"> “Purchasers” </w:t>
      </w:r>
      <w:r>
        <w:rPr>
          <w:rFonts w:ascii="Arial" w:cs="Arial" w:eastAsia="Arial" w:hAnsi="Arial"/>
          <w:sz w:val="21"/>
          <w:szCs w:val="21"/>
          <w:color w:val="auto"/>
        </w:rPr>
        <w:t>means each of the purchasers that has executed and delivered this Agreement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and such Purchaser’s successors and assigns (so long as any such assignment complies with Section 13.2),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however, </w:t>
      </w:r>
      <w:r>
        <w:rPr>
          <w:rFonts w:ascii="Arial" w:cs="Arial" w:eastAsia="Arial" w:hAnsi="Arial"/>
          <w:sz w:val="21"/>
          <w:szCs w:val="21"/>
          <w:color w:val="auto"/>
        </w:rPr>
        <w:t>that any Purchaser of a Note that ceases to be the registered holder or a beneficial owner (through a nominee) of such</w:t>
      </w:r>
      <w:r>
        <w:rPr>
          <w:rFonts w:ascii="Arial" w:cs="Arial" w:eastAsia="Arial" w:hAnsi="Arial"/>
          <w:sz w:val="21"/>
          <w:szCs w:val="21"/>
          <w:i w:val="1"/>
          <w:iCs w:val="1"/>
          <w:color w:val="auto"/>
        </w:rPr>
        <w:t xml:space="preserve"> </w:t>
      </w:r>
      <w:r>
        <w:rPr>
          <w:rFonts w:ascii="Arial" w:cs="Arial" w:eastAsia="Arial" w:hAnsi="Arial"/>
          <w:sz w:val="21"/>
          <w:szCs w:val="21"/>
          <w:color w:val="auto"/>
        </w:rPr>
        <w:t>Note as the result of a transfer thereof pursuant to Section 13.2 shall cease to be included within the meaning of “Purchaser” of such Note for the purposes of this Agreement upon such transfer.</w:t>
      </w:r>
    </w:p>
    <w:p>
      <w:pPr>
        <w:spacing w:after="0" w:line="199"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9"/>
          <w:szCs w:val="19"/>
          <w:b w:val="1"/>
          <w:bCs w:val="1"/>
          <w:color w:val="auto"/>
        </w:rPr>
        <w:t xml:space="preserve">“Qualified Development Property” </w:t>
      </w:r>
      <w:r>
        <w:rPr>
          <w:rFonts w:ascii="Arial" w:cs="Arial" w:eastAsia="Arial" w:hAnsi="Arial"/>
          <w:sz w:val="19"/>
          <w:szCs w:val="19"/>
          <w:color w:val="auto"/>
        </w:rPr>
        <w:t>means, as of any date of determination, all or any portion of a Portfolio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which, on such date, is the subject of ground-up development;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Portfolio Property (or portion thereof) will only constitute a Qualified Development Property (i) if all requisite zoning requirements and land use requirements have been satisfied, and all permits and approvals have been obtained for all grading, offsite and infrastructure work necessary to improve the applicable Portfolio Property (or portion thereof) as intended have been obtained, (ii) if physical site improvement thereto has commenced and is continuing, and (iii) until the date on which all applicable improvements thereto receive a final certificate of occupancy or equivalent certification allowing legal occupancy thereof for its intended purpose.</w:t>
      </w:r>
    </w:p>
    <w:p>
      <w:pPr>
        <w:spacing w:after="0" w:line="18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22</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105" w:name="page106"/>
    <w:bookmarkEnd w:id="105"/>
    <w:p>
      <w:pPr>
        <w:jc w:val="both"/>
        <w:ind w:right="20" w:firstLine="648"/>
        <w:spacing w:after="0" w:line="308" w:lineRule="auto"/>
        <w:rPr>
          <w:sz w:val="20"/>
          <w:szCs w:val="20"/>
          <w:color w:val="auto"/>
        </w:rPr>
      </w:pPr>
      <w:r>
        <w:rPr>
          <w:rFonts w:ascii="Arial" w:cs="Arial" w:eastAsia="Arial" w:hAnsi="Arial"/>
          <w:sz w:val="22"/>
          <w:szCs w:val="22"/>
          <w:b w:val="1"/>
          <w:bCs w:val="1"/>
          <w:color w:val="auto"/>
        </w:rPr>
        <w:t xml:space="preserve">“Qualified Institutional Buyer” </w:t>
      </w:r>
      <w:r>
        <w:rPr>
          <w:rFonts w:ascii="Arial" w:cs="Arial" w:eastAsia="Arial" w:hAnsi="Arial"/>
          <w:sz w:val="22"/>
          <w:szCs w:val="22"/>
          <w:color w:val="auto"/>
        </w:rPr>
        <w:t>means any Person who is a “qualified institutional buyer” within the meaning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 as set forth in Rule 144A(a)(1) under the Securities Act.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“Quarterly Period” </w:t>
      </w:r>
      <w:r>
        <w:rPr>
          <w:rFonts w:ascii="Arial" w:cs="Arial" w:eastAsia="Arial" w:hAnsi="Arial"/>
          <w:sz w:val="22"/>
          <w:szCs w:val="22"/>
          <w:color w:val="auto"/>
        </w:rPr>
        <w:t>means the most recently ended three (3) calendar month period for which the Company has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information pursuant to Sections 7.1(a) or (b).</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“QPAM Exemption” </w:t>
      </w:r>
      <w:r>
        <w:rPr>
          <w:rFonts w:ascii="Arial" w:cs="Arial" w:eastAsia="Arial" w:hAnsi="Arial"/>
          <w:sz w:val="22"/>
          <w:szCs w:val="22"/>
          <w:color w:val="auto"/>
        </w:rPr>
        <w:t>is defined in Section 6.2(d).</w:t>
      </w:r>
    </w:p>
    <w:p>
      <w:pPr>
        <w:spacing w:after="0" w:line="2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“Rady Affiliates” </w:t>
      </w:r>
      <w:r>
        <w:rPr>
          <w:rFonts w:ascii="Arial" w:cs="Arial" w:eastAsia="Arial" w:hAnsi="Arial"/>
          <w:sz w:val="22"/>
          <w:szCs w:val="22"/>
          <w:color w:val="auto"/>
        </w:rPr>
        <w:t>shall mean (i) all lineal descendants of Ernest S. Rady and all spouses and adopted children of Ernest S.</w:t>
      </w:r>
      <w:r>
        <w:rPr>
          <w:rFonts w:ascii="Arial" w:cs="Arial" w:eastAsia="Arial" w:hAnsi="Arial"/>
          <w:sz w:val="22"/>
          <w:szCs w:val="22"/>
          <w:b w:val="1"/>
          <w:bCs w:val="1"/>
          <w:color w:val="auto"/>
        </w:rPr>
        <w:t xml:space="preserve"> </w:t>
      </w:r>
      <w:r>
        <w:rPr>
          <w:rFonts w:ascii="Arial" w:cs="Arial" w:eastAsia="Arial" w:hAnsi="Arial"/>
          <w:sz w:val="22"/>
          <w:szCs w:val="22"/>
          <w:color w:val="auto"/>
        </w:rPr>
        <w:t>Rady and such descendants; (ii) all trusts for the benefit of any person described in clause (i) and trustees of such trusts; (iii) all legal representatives of any person or trust described in clause (i) or (ii); and (iv) all partnerships, corporations, limited liability companies or other entities Controlling, Controlled by or under common Control with Ernest S. Rady or any person, trust or other entity described in clauses (i), (ii) or (iii).</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“Real Estate Investment Trust” </w:t>
      </w:r>
      <w:r>
        <w:rPr>
          <w:rFonts w:ascii="Arial" w:cs="Arial" w:eastAsia="Arial" w:hAnsi="Arial"/>
          <w:sz w:val="22"/>
          <w:szCs w:val="22"/>
          <w:color w:val="auto"/>
        </w:rPr>
        <w:t>means any Person that qualifies as a real estate investment trust under Sections 856</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860 of the Code.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“Recourse Indebtedness” </w:t>
      </w:r>
      <w:r>
        <w:rPr>
          <w:rFonts w:ascii="Arial" w:cs="Arial" w:eastAsia="Arial" w:hAnsi="Arial"/>
          <w:sz w:val="22"/>
          <w:szCs w:val="22"/>
          <w:color w:val="auto"/>
        </w:rPr>
        <w:t>means, with respect to any Person, Indebtedness of such Person other than Nonrecourse</w:t>
      </w:r>
      <w:r>
        <w:rPr>
          <w:rFonts w:ascii="Arial" w:cs="Arial" w:eastAsia="Arial" w:hAnsi="Arial"/>
          <w:sz w:val="22"/>
          <w:szCs w:val="22"/>
          <w:b w:val="1"/>
          <w:bCs w:val="1"/>
          <w:color w:val="auto"/>
        </w:rPr>
        <w:t xml:space="preserve"> </w:t>
      </w:r>
      <w:r>
        <w:rPr>
          <w:rFonts w:ascii="Arial" w:cs="Arial" w:eastAsia="Arial" w:hAnsi="Arial"/>
          <w:sz w:val="22"/>
          <w:szCs w:val="22"/>
          <w:color w:val="auto"/>
        </w:rPr>
        <w:t>Indebtedness of such Person and Indebtedness under the Note Documents.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“REIT” </w:t>
      </w:r>
      <w:r>
        <w:rPr>
          <w:rFonts w:ascii="Arial" w:cs="Arial" w:eastAsia="Arial" w:hAnsi="Arial"/>
          <w:sz w:val="22"/>
          <w:szCs w:val="22"/>
          <w:color w:val="auto"/>
        </w:rPr>
        <w:t>means American Assets Trust, Inc., a Maryland corporation, together with its successors.</w:t>
      </w:r>
    </w:p>
    <w:p>
      <w:pPr>
        <w:spacing w:after="0" w:line="28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“Related Fund” </w:t>
      </w:r>
      <w:r>
        <w:rPr>
          <w:rFonts w:ascii="Arial" w:cs="Arial" w:eastAsia="Arial" w:hAnsi="Arial"/>
          <w:sz w:val="22"/>
          <w:szCs w:val="22"/>
          <w:color w:val="auto"/>
        </w:rPr>
        <w:t>means, with respect to any holder of any Note, any fund or entity that (i) invests in Securities or bank</w:t>
      </w:r>
      <w:r>
        <w:rPr>
          <w:rFonts w:ascii="Arial" w:cs="Arial" w:eastAsia="Arial" w:hAnsi="Arial"/>
          <w:sz w:val="22"/>
          <w:szCs w:val="22"/>
          <w:b w:val="1"/>
          <w:bCs w:val="1"/>
          <w:color w:val="auto"/>
        </w:rPr>
        <w:t xml:space="preserve"> </w:t>
      </w:r>
      <w:r>
        <w:rPr>
          <w:rFonts w:ascii="Arial" w:cs="Arial" w:eastAsia="Arial" w:hAnsi="Arial"/>
          <w:sz w:val="22"/>
          <w:szCs w:val="22"/>
          <w:color w:val="auto"/>
        </w:rPr>
        <w:t>loans, and (ii) is advised or managed by such holder, the same investment advisor as such holder or by an affiliate of such holder or such investment advisor.</w:t>
      </w:r>
    </w:p>
    <w:p>
      <w:pPr>
        <w:spacing w:after="0" w:line="205"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21"/>
          <w:szCs w:val="21"/>
          <w:b w:val="1"/>
          <w:bCs w:val="1"/>
          <w:color w:val="auto"/>
        </w:rPr>
        <w:t xml:space="preserve">“Release” </w:t>
      </w:r>
      <w:r>
        <w:rPr>
          <w:rFonts w:ascii="Arial" w:cs="Arial" w:eastAsia="Arial" w:hAnsi="Arial"/>
          <w:sz w:val="21"/>
          <w:szCs w:val="21"/>
          <w:color w:val="auto"/>
        </w:rPr>
        <w:t>means any release, spill, emission, discharge, deposit, disposal, leaking, pumping, pouring, dumping, emptying,</w:t>
      </w:r>
      <w:r>
        <w:rPr>
          <w:rFonts w:ascii="Arial" w:cs="Arial" w:eastAsia="Arial" w:hAnsi="Arial"/>
          <w:sz w:val="21"/>
          <w:szCs w:val="21"/>
          <w:b w:val="1"/>
          <w:bCs w:val="1"/>
          <w:color w:val="auto"/>
        </w:rPr>
        <w:t xml:space="preserve"> </w:t>
      </w:r>
      <w:r>
        <w:rPr>
          <w:rFonts w:ascii="Arial" w:cs="Arial" w:eastAsia="Arial" w:hAnsi="Arial"/>
          <w:sz w:val="21"/>
          <w:szCs w:val="21"/>
          <w:color w:val="auto"/>
        </w:rPr>
        <w:t>injection or leaching into the Environment, or into, from or through any building, structure or facility.</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b w:val="1"/>
          <w:bCs w:val="1"/>
          <w:color w:val="auto"/>
        </w:rPr>
        <w:t xml:space="preserve">“Required Holders” </w:t>
      </w:r>
      <w:r>
        <w:rPr>
          <w:rFonts w:ascii="Arial" w:cs="Arial" w:eastAsia="Arial" w:hAnsi="Arial"/>
          <w:sz w:val="22"/>
          <w:szCs w:val="22"/>
          <w:color w:val="auto"/>
        </w:rPr>
        <w:t>means at any time (a) after the First Closing but before the Second Closing, the holders of more than</w:t>
      </w:r>
      <w:r>
        <w:rPr>
          <w:rFonts w:ascii="Arial" w:cs="Arial" w:eastAsia="Arial" w:hAnsi="Arial"/>
          <w:sz w:val="22"/>
          <w:szCs w:val="22"/>
          <w:b w:val="1"/>
          <w:bCs w:val="1"/>
          <w:color w:val="auto"/>
        </w:rPr>
        <w:t xml:space="preserve"> </w:t>
      </w:r>
      <w:r>
        <w:rPr>
          <w:rFonts w:ascii="Arial" w:cs="Arial" w:eastAsia="Arial" w:hAnsi="Arial"/>
          <w:sz w:val="22"/>
          <w:szCs w:val="22"/>
          <w:color w:val="auto"/>
        </w:rPr>
        <w:t>50% of the Notes outstanding, provided that only for the purposes of this clause (a), the Notes scheduled to be issued at the Second Closing and Third Closing shall be deemed to be outstanding (exclusive of Notes then owned by any Note Party or any of their Affiliates), (b) after the Second Closing and before the Third Closing, the holders of more than 50% of the Notes outstanding, provided that for the purposes of this clause (b), the Notes scheduled to be issued at the Third Closing shall be deemed outstanding (exclusive of Notes then owned by any Note Party or any of their Affiliates), and (c) at any time on or after the Third Closing, the holders</w:t>
      </w:r>
    </w:p>
    <w:p>
      <w:pPr>
        <w:spacing w:after="0" w:line="219"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23</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106" w:name="page107"/>
    <w:bookmarkEnd w:id="106"/>
    <w:p>
      <w:pPr>
        <w:jc w:val="both"/>
        <w:spacing w:after="0" w:line="302" w:lineRule="auto"/>
        <w:rPr>
          <w:sz w:val="20"/>
          <w:szCs w:val="20"/>
          <w:color w:val="auto"/>
        </w:rPr>
      </w:pPr>
      <w:r>
        <w:rPr>
          <w:rFonts w:ascii="Arial" w:cs="Arial" w:eastAsia="Arial" w:hAnsi="Arial"/>
          <w:sz w:val="22"/>
          <w:szCs w:val="22"/>
          <w:color w:val="auto"/>
        </w:rPr>
        <w:t>of more than 50% in principal amount of the Notes at the time outstanding (exclusive of Notes then owned by any Note Party or any of their Affiliates).</w:t>
      </w:r>
    </w:p>
    <w:p>
      <w:pPr>
        <w:spacing w:after="0" w:line="19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2"/>
          <w:szCs w:val="22"/>
          <w:b w:val="1"/>
          <w:bCs w:val="1"/>
          <w:color w:val="auto"/>
        </w:rPr>
        <w:t xml:space="preserve">“Responsible Officer” </w:t>
      </w:r>
      <w:r>
        <w:rPr>
          <w:rFonts w:ascii="Arial" w:cs="Arial" w:eastAsia="Arial" w:hAnsi="Arial"/>
          <w:sz w:val="22"/>
          <w:szCs w:val="22"/>
          <w:color w:val="auto"/>
        </w:rPr>
        <w:t>means any Senior Financial Officer and any other officer of the REIT or the Company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responsibility for the administration of the relevant portion of this Agreement.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“S&amp;P” </w:t>
      </w:r>
      <w:r>
        <w:rPr>
          <w:rFonts w:ascii="Arial" w:cs="Arial" w:eastAsia="Arial" w:hAnsi="Arial"/>
          <w:sz w:val="22"/>
          <w:szCs w:val="22"/>
          <w:color w:val="auto"/>
        </w:rPr>
        <w:t>means Standard &amp; Poor’s Financial Services LLC, a subsidiary of The McGraw-Hill Companies, Inc., or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or assignee of the business of such division in the business of rating debt.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 </w:t>
      </w:r>
      <w:r>
        <w:rPr>
          <w:rFonts w:ascii="Arial" w:cs="Arial" w:eastAsia="Arial" w:hAnsi="Arial"/>
          <w:sz w:val="22"/>
          <w:szCs w:val="22"/>
          <w:color w:val="auto"/>
        </w:rPr>
        <w:t>means the Securities and Exchange Commission of the United States, or any successor thereto.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“Second Closing” </w:t>
      </w:r>
      <w:r>
        <w:rPr>
          <w:rFonts w:ascii="Arial" w:cs="Arial" w:eastAsia="Arial" w:hAnsi="Arial"/>
          <w:sz w:val="22"/>
          <w:szCs w:val="22"/>
          <w:color w:val="auto"/>
        </w:rPr>
        <w:t>is defined in Section 3(a).</w:t>
      </w:r>
    </w:p>
    <w:p>
      <w:pPr>
        <w:spacing w:after="0" w:line="2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2"/>
          <w:szCs w:val="22"/>
          <w:b w:val="1"/>
          <w:bCs w:val="1"/>
          <w:color w:val="auto"/>
        </w:rPr>
        <w:t xml:space="preserve">“Secured Indebtedness” </w:t>
      </w:r>
      <w:r>
        <w:rPr>
          <w:rFonts w:ascii="Arial" w:cs="Arial" w:eastAsia="Arial" w:hAnsi="Arial"/>
          <w:sz w:val="22"/>
          <w:szCs w:val="22"/>
          <w:color w:val="auto"/>
        </w:rPr>
        <w:t>means, with respect to any Person, all Indebtedness of such Person that is secured by a mortgage,</w:t>
      </w:r>
      <w:r>
        <w:rPr>
          <w:rFonts w:ascii="Arial" w:cs="Arial" w:eastAsia="Arial" w:hAnsi="Arial"/>
          <w:sz w:val="22"/>
          <w:szCs w:val="22"/>
          <w:b w:val="1"/>
          <w:bCs w:val="1"/>
          <w:color w:val="auto"/>
        </w:rPr>
        <w:t xml:space="preserve"> </w:t>
      </w:r>
      <w:r>
        <w:rPr>
          <w:rFonts w:ascii="Arial" w:cs="Arial" w:eastAsia="Arial" w:hAnsi="Arial"/>
          <w:sz w:val="22"/>
          <w:szCs w:val="22"/>
          <w:color w:val="auto"/>
        </w:rPr>
        <w:t>deed of trust, lien, pledge, encumbrance, security interest or other Lien.</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“Secured Recourse Indebtedness” </w:t>
      </w:r>
      <w:r>
        <w:rPr>
          <w:rFonts w:ascii="Arial" w:cs="Arial" w:eastAsia="Arial" w:hAnsi="Arial"/>
          <w:sz w:val="22"/>
          <w:szCs w:val="22"/>
          <w:color w:val="auto"/>
        </w:rPr>
        <w:t>means, as to any Person, Recourse Indebtedness of such Person that constitutes</w:t>
      </w:r>
      <w:r>
        <w:rPr>
          <w:rFonts w:ascii="Arial" w:cs="Arial" w:eastAsia="Arial" w:hAnsi="Arial"/>
          <w:sz w:val="22"/>
          <w:szCs w:val="22"/>
          <w:b w:val="1"/>
          <w:bCs w:val="1"/>
          <w:color w:val="auto"/>
        </w:rPr>
        <w:t xml:space="preserve"> </w:t>
      </w:r>
      <w:r>
        <w:rPr>
          <w:rFonts w:ascii="Arial" w:cs="Arial" w:eastAsia="Arial" w:hAnsi="Arial"/>
          <w:sz w:val="22"/>
          <w:szCs w:val="22"/>
          <w:color w:val="auto"/>
        </w:rPr>
        <w:t>Secured Indebtedness.</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“Secured Total Asset Value” </w:t>
      </w:r>
      <w:r>
        <w:rPr>
          <w:rFonts w:ascii="Arial" w:cs="Arial" w:eastAsia="Arial" w:hAnsi="Arial"/>
          <w:sz w:val="22"/>
          <w:szCs w:val="22"/>
          <w:color w:val="auto"/>
        </w:rPr>
        <w:t>means, as of any time for the Consolidated Group, the sum of (i) Total Asset Value, (ii) all</w:t>
      </w:r>
      <w:r>
        <w:rPr>
          <w:rFonts w:ascii="Arial" w:cs="Arial" w:eastAsia="Arial" w:hAnsi="Arial"/>
          <w:sz w:val="22"/>
          <w:szCs w:val="22"/>
          <w:b w:val="1"/>
          <w:bCs w:val="1"/>
          <w:color w:val="auto"/>
        </w:rPr>
        <w:t xml:space="preserve"> </w:t>
      </w:r>
      <w:r>
        <w:rPr>
          <w:rFonts w:ascii="Arial" w:cs="Arial" w:eastAsia="Arial" w:hAnsi="Arial"/>
          <w:sz w:val="22"/>
          <w:szCs w:val="22"/>
          <w:color w:val="auto"/>
        </w:rPr>
        <w:t>cash and Cash Equivalents owned by the Consolidated Group and (iii) the Consolidated Group Pro Rata Share of all cash and Cash Equivalents owned by Unconsolidated Affiliates, in each case at such time.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“Securities” </w:t>
      </w:r>
      <w:r>
        <w:rPr>
          <w:rFonts w:ascii="Arial" w:cs="Arial" w:eastAsia="Arial" w:hAnsi="Arial"/>
          <w:sz w:val="22"/>
          <w:szCs w:val="22"/>
          <w:color w:val="auto"/>
        </w:rPr>
        <w:t>or</w:t>
      </w:r>
      <w:r>
        <w:rPr>
          <w:rFonts w:ascii="Arial" w:cs="Arial" w:eastAsia="Arial" w:hAnsi="Arial"/>
          <w:sz w:val="22"/>
          <w:szCs w:val="22"/>
          <w:b w:val="1"/>
          <w:bCs w:val="1"/>
          <w:color w:val="auto"/>
        </w:rPr>
        <w:t xml:space="preserve"> “Security” </w:t>
      </w:r>
      <w:r>
        <w:rPr>
          <w:rFonts w:ascii="Arial" w:cs="Arial" w:eastAsia="Arial" w:hAnsi="Arial"/>
          <w:sz w:val="22"/>
          <w:szCs w:val="22"/>
          <w:color w:val="auto"/>
        </w:rPr>
        <w:t>shall have the meaning specified in section 2(1) of the Securities Act.</w:t>
      </w:r>
    </w:p>
    <w:p>
      <w:pPr>
        <w:spacing w:after="0" w:line="2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2"/>
          <w:szCs w:val="22"/>
          <w:b w:val="1"/>
          <w:bCs w:val="1"/>
          <w:color w:val="auto"/>
        </w:rPr>
        <w:t xml:space="preserve">“Securities Act” </w:t>
      </w:r>
      <w:r>
        <w:rPr>
          <w:rFonts w:ascii="Arial" w:cs="Arial" w:eastAsia="Arial" w:hAnsi="Arial"/>
          <w:sz w:val="22"/>
          <w:szCs w:val="22"/>
          <w:color w:val="auto"/>
        </w:rPr>
        <w:t>means the Securities Act of 1933, as amended from time to time, and the rules and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 from time to time in effect.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“Senior Financial Officer” </w:t>
      </w:r>
      <w:r>
        <w:rPr>
          <w:rFonts w:ascii="Arial" w:cs="Arial" w:eastAsia="Arial" w:hAnsi="Arial"/>
          <w:sz w:val="22"/>
          <w:szCs w:val="22"/>
          <w:color w:val="auto"/>
        </w:rPr>
        <w:t>means the chief financial officer, principal accounting officer, treasurer or comptroller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REIT or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“series” </w:t>
      </w:r>
      <w:r>
        <w:rPr>
          <w:rFonts w:ascii="Arial" w:cs="Arial" w:eastAsia="Arial" w:hAnsi="Arial"/>
          <w:sz w:val="22"/>
          <w:szCs w:val="22"/>
          <w:color w:val="auto"/>
        </w:rPr>
        <w:t>means any series of Notes issued pursuant to this Agreement.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“Series A Notes” </w:t>
      </w:r>
      <w:r>
        <w:rPr>
          <w:rFonts w:ascii="Arial" w:cs="Arial" w:eastAsia="Arial" w:hAnsi="Arial"/>
          <w:sz w:val="22"/>
          <w:szCs w:val="22"/>
          <w:color w:val="auto"/>
        </w:rPr>
        <w:t>is defined in Section 1.</w:t>
      </w:r>
    </w:p>
    <w:p>
      <w:pPr>
        <w:spacing w:after="0" w:line="293"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24</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107" w:name="page108"/>
    <w:bookmarkEnd w:id="107"/>
    <w:p>
      <w:pPr>
        <w:ind w:left="660"/>
        <w:spacing w:after="0"/>
        <w:rPr>
          <w:sz w:val="20"/>
          <w:szCs w:val="20"/>
          <w:color w:val="auto"/>
        </w:rPr>
      </w:pPr>
      <w:r>
        <w:rPr>
          <w:rFonts w:ascii="Arial" w:cs="Arial" w:eastAsia="Arial" w:hAnsi="Arial"/>
          <w:sz w:val="22"/>
          <w:szCs w:val="22"/>
          <w:b w:val="1"/>
          <w:bCs w:val="1"/>
          <w:color w:val="auto"/>
        </w:rPr>
        <w:t xml:space="preserve">“Series B Notes” </w:t>
      </w:r>
      <w:r>
        <w:rPr>
          <w:rFonts w:ascii="Arial" w:cs="Arial" w:eastAsia="Arial" w:hAnsi="Arial"/>
          <w:sz w:val="22"/>
          <w:szCs w:val="22"/>
          <w:color w:val="auto"/>
        </w:rPr>
        <w:t>is defined in Section 1.</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“Series C Notes” </w:t>
      </w:r>
      <w:r>
        <w:rPr>
          <w:rFonts w:ascii="Arial" w:cs="Arial" w:eastAsia="Arial" w:hAnsi="Arial"/>
          <w:sz w:val="22"/>
          <w:szCs w:val="22"/>
          <w:color w:val="auto"/>
        </w:rPr>
        <w:t>is defined in Section 1.</w:t>
      </w:r>
    </w:p>
    <w:p>
      <w:pPr>
        <w:spacing w:after="0" w:line="2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“Shareholders’ Equity” </w:t>
      </w:r>
      <w:r>
        <w:rPr>
          <w:rFonts w:ascii="Arial" w:cs="Arial" w:eastAsia="Arial" w:hAnsi="Arial"/>
          <w:sz w:val="22"/>
          <w:szCs w:val="22"/>
          <w:color w:val="auto"/>
        </w:rPr>
        <w:t>means, as of any date of determination, consolidated shareholders’ equity of the Consolidated</w:t>
      </w:r>
      <w:r>
        <w:rPr>
          <w:rFonts w:ascii="Arial" w:cs="Arial" w:eastAsia="Arial" w:hAnsi="Arial"/>
          <w:sz w:val="22"/>
          <w:szCs w:val="22"/>
          <w:b w:val="1"/>
          <w:bCs w:val="1"/>
          <w:color w:val="auto"/>
        </w:rPr>
        <w:t xml:space="preserve"> </w:t>
      </w:r>
      <w:r>
        <w:rPr>
          <w:rFonts w:ascii="Arial" w:cs="Arial" w:eastAsia="Arial" w:hAnsi="Arial"/>
          <w:sz w:val="22"/>
          <w:szCs w:val="22"/>
          <w:color w:val="auto"/>
        </w:rPr>
        <w:t>Group as of that date determined in accordance with GAAP.</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“Significant Subsidiary” </w:t>
      </w:r>
      <w:r>
        <w:rPr>
          <w:rFonts w:ascii="Arial" w:cs="Arial" w:eastAsia="Arial" w:hAnsi="Arial"/>
          <w:sz w:val="22"/>
          <w:szCs w:val="22"/>
          <w:color w:val="auto"/>
        </w:rPr>
        <w:t>means, as of any date, each Subsidiary or group of Subsidiaries of the REIT whose assets have an</w:t>
      </w:r>
      <w:r>
        <w:rPr>
          <w:rFonts w:ascii="Arial" w:cs="Arial" w:eastAsia="Arial" w:hAnsi="Arial"/>
          <w:sz w:val="22"/>
          <w:szCs w:val="22"/>
          <w:b w:val="1"/>
          <w:bCs w:val="1"/>
          <w:color w:val="auto"/>
        </w:rPr>
        <w:t xml:space="preserve"> </w:t>
      </w:r>
      <w:r>
        <w:rPr>
          <w:rFonts w:ascii="Arial" w:cs="Arial" w:eastAsia="Arial" w:hAnsi="Arial"/>
          <w:sz w:val="22"/>
          <w:szCs w:val="22"/>
          <w:color w:val="auto"/>
        </w:rPr>
        <w:t>aggregate book value that is greater than five percent (5.00%) of the aggregate book value of the assets of the Consolidated Group (it being understood that such calculations shall be determined in the aggregate for all Subsidiaries of the REIT subject to any of the events specified in clause (g), (h) or (i) of Section 11).</w:t>
      </w:r>
    </w:p>
    <w:p>
      <w:pPr>
        <w:spacing w:after="0" w:line="2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b w:val="1"/>
          <w:bCs w:val="1"/>
          <w:color w:val="auto"/>
        </w:rPr>
        <w:t xml:space="preserve">“Single Asset Entity” </w:t>
      </w:r>
      <w:r>
        <w:rPr>
          <w:rFonts w:ascii="Arial" w:cs="Arial" w:eastAsia="Arial" w:hAnsi="Arial"/>
          <w:sz w:val="21"/>
          <w:szCs w:val="21"/>
          <w:color w:val="auto"/>
        </w:rPr>
        <w:t>means a Person (other than an individual) that (a) only owns a single real property and/or cash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other assets of nominal value incidental to such Person’s ownership of such real property; (b) is engaged only in the business of owning, developing and/or leasing such real property and activities incidental thereto; and (c) receives substantially all of its gross revenues from such real property. In addition, if the assets of a Person consist solely of (i) Equity Interests in one or more other Single Asset Entities and (ii) cash and other assets of nominal value incidental to such Person’s ownership of the other Single Asset Entities, such Person shall also be deemed to be a Single Asset Entity for purposes of this Agreement (such an entity, a </w:t>
      </w:r>
      <w:r>
        <w:rPr>
          <w:rFonts w:ascii="Arial" w:cs="Arial" w:eastAsia="Arial" w:hAnsi="Arial"/>
          <w:sz w:val="21"/>
          <w:szCs w:val="21"/>
          <w:i w:val="1"/>
          <w:iCs w:val="1"/>
          <w:color w:val="auto"/>
        </w:rPr>
        <w:t>“Single</w:t>
      </w:r>
      <w:r>
        <w:rPr>
          <w:rFonts w:ascii="Arial" w:cs="Arial" w:eastAsia="Arial" w:hAnsi="Arial"/>
          <w:sz w:val="21"/>
          <w:szCs w:val="21"/>
          <w:color w:val="auto"/>
        </w:rPr>
        <w:t xml:space="preserve"> </w:t>
      </w:r>
      <w:r>
        <w:rPr>
          <w:rFonts w:ascii="Arial" w:cs="Arial" w:eastAsia="Arial" w:hAnsi="Arial"/>
          <w:sz w:val="21"/>
          <w:szCs w:val="21"/>
          <w:i w:val="1"/>
          <w:iCs w:val="1"/>
          <w:color w:val="auto"/>
        </w:rPr>
        <w:t>Asset Holding Company”</w:t>
      </w:r>
      <w:r>
        <w:rPr>
          <w:rFonts w:ascii="Arial" w:cs="Arial" w:eastAsia="Arial" w:hAnsi="Arial"/>
          <w:sz w:val="21"/>
          <w:szCs w:val="21"/>
          <w:color w:val="auto"/>
        </w:rPr>
        <w: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“Single Asset Holding Company” </w:t>
      </w:r>
      <w:r>
        <w:rPr>
          <w:rFonts w:ascii="Arial" w:cs="Arial" w:eastAsia="Arial" w:hAnsi="Arial"/>
          <w:sz w:val="22"/>
          <w:szCs w:val="22"/>
          <w:color w:val="auto"/>
        </w:rPr>
        <w:t>has the meaning given that term in the definition of Single Asset Entity.</w:t>
      </w:r>
    </w:p>
    <w:p>
      <w:pPr>
        <w:spacing w:after="0" w:line="287"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“Solvent” </w:t>
      </w:r>
      <w:r>
        <w:rPr>
          <w:rFonts w:ascii="Arial" w:cs="Arial" w:eastAsia="Arial" w:hAnsi="Arial"/>
          <w:sz w:val="19"/>
          <w:szCs w:val="19"/>
          <w:color w:val="auto"/>
        </w:rPr>
        <w:t>mean, with respect to any Person on any date of determination, that on such date (a) the fair value of the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9"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25</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Source”</w:t>
      </w:r>
      <w:r>
        <w:rPr>
          <w:rFonts w:ascii="Arial" w:cs="Arial" w:eastAsia="Arial" w:hAnsi="Arial"/>
          <w:sz w:val="22"/>
          <w:szCs w:val="22"/>
          <w:color w:val="auto"/>
        </w:rPr>
        <w:t xml:space="preserve"> is defined in Section 6.2.</w:t>
      </w:r>
    </w:p>
    <w:p>
      <w:pPr>
        <w:spacing w:after="0" w:line="287"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9"/>
          <w:szCs w:val="19"/>
          <w:b w:val="1"/>
          <w:bCs w:val="1"/>
          <w:color w:val="auto"/>
        </w:rPr>
        <w:t xml:space="preserve">“Stabilization Date” </w:t>
      </w:r>
      <w:r>
        <w:rPr>
          <w:rFonts w:ascii="Arial" w:cs="Arial" w:eastAsia="Arial" w:hAnsi="Arial"/>
          <w:sz w:val="19"/>
          <w:szCs w:val="19"/>
          <w:color w:val="auto"/>
        </w:rPr>
        <w:t>means, with respect to any Portfolio Property under development in which an Investment was made</w:t>
      </w:r>
      <w:r>
        <w:rPr>
          <w:rFonts w:ascii="Arial" w:cs="Arial" w:eastAsia="Arial" w:hAnsi="Arial"/>
          <w:sz w:val="19"/>
          <w:szCs w:val="19"/>
          <w:b w:val="1"/>
          <w:bCs w:val="1"/>
          <w:color w:val="auto"/>
        </w:rPr>
        <w:t xml:space="preserve"> </w:t>
      </w:r>
      <w:r>
        <w:rPr>
          <w:rFonts w:ascii="Arial" w:cs="Arial" w:eastAsia="Arial" w:hAnsi="Arial"/>
          <w:sz w:val="19"/>
          <w:szCs w:val="19"/>
          <w:color w:val="auto"/>
        </w:rPr>
        <w:t>by the REIT or a Subsidiary thereof pursuant to Section 10.6(e) and subsequent to such Investment the construction of such Portfolio Property has been substantially completed, the date that is the earlier of (i) the last day of the first full fiscal quarter of the REIT following substantial completion of such construction for which financial statements have been provided to the holders pursuant to Section 7.1(a) or (b) and in which Portfolio Property Net Operating Income of such Portfolio Property for such fiscal quarter is greater than $0 and (ii) the last day of the second full fiscal quarter of the REIT following substantial completion of such construction in which financial statements have been provided to the holders pursuant to Section 7.1(a) or (b).</w:t>
      </w:r>
    </w:p>
    <w:p>
      <w:pPr>
        <w:spacing w:after="0" w:line="175"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9"/>
          <w:szCs w:val="19"/>
          <w:b w:val="1"/>
          <w:bCs w:val="1"/>
          <w:color w:val="auto"/>
        </w:rPr>
        <w:t xml:space="preserve">“Stabilized Portfolio Property” </w:t>
      </w:r>
      <w:r>
        <w:rPr>
          <w:rFonts w:ascii="Arial" w:cs="Arial" w:eastAsia="Arial" w:hAnsi="Arial"/>
          <w:sz w:val="19"/>
          <w:szCs w:val="19"/>
          <w:color w:val="auto"/>
        </w:rPr>
        <w:t>means, as of any date of determination, any Portfolio Property (i) that was previously (but</w:t>
      </w:r>
      <w:r>
        <w:rPr>
          <w:rFonts w:ascii="Arial" w:cs="Arial" w:eastAsia="Arial" w:hAnsi="Arial"/>
          <w:sz w:val="19"/>
          <w:szCs w:val="19"/>
          <w:b w:val="1"/>
          <w:bCs w:val="1"/>
          <w:color w:val="auto"/>
        </w:rPr>
        <w:t xml:space="preserve"> </w:t>
      </w:r>
      <w:r>
        <w:rPr>
          <w:rFonts w:ascii="Arial" w:cs="Arial" w:eastAsia="Arial" w:hAnsi="Arial"/>
          <w:sz w:val="19"/>
          <w:szCs w:val="19"/>
          <w:color w:val="auto"/>
        </w:rPr>
        <w:t>is no longer) under development and in which an Investment was made by the REIT or a Subsidiary thereof after the Closing pursuant to Section 10.6(e) and (ii) in respect of which the Stabilization Date has occurred on or prior to such date.</w:t>
      </w:r>
    </w:p>
    <w:p>
      <w:pPr>
        <w:spacing w:after="0" w:line="15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“Subsidiary” </w:t>
      </w:r>
      <w:r>
        <w:rPr>
          <w:rFonts w:ascii="Arial" w:cs="Arial" w:eastAsia="Arial" w:hAnsi="Arial"/>
          <w:sz w:val="21"/>
          <w:szCs w:val="21"/>
          <w:color w:val="auto"/>
        </w:rPr>
        <w:t>of a Person means a corporation, partnership, joint venture, limited liability company or other business entity</w:t>
      </w:r>
      <w:r>
        <w:rPr>
          <w:rFonts w:ascii="Arial" w:cs="Arial" w:eastAsia="Arial" w:hAnsi="Arial"/>
          <w:sz w:val="21"/>
          <w:szCs w:val="21"/>
          <w:b w:val="1"/>
          <w:bCs w:val="1"/>
          <w:color w:val="auto"/>
        </w:rPr>
        <w:t xml:space="preserve"> </w:t>
      </w:r>
      <w:r>
        <w:rPr>
          <w:rFonts w:ascii="Arial" w:cs="Arial" w:eastAsia="Arial" w:hAnsi="Arial"/>
          <w:sz w:val="21"/>
          <w:szCs w:val="21"/>
          <w:color w:val="auto"/>
        </w:rPr>
        <w:t>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21"/>
          <w:szCs w:val="21"/>
          <w:b w:val="1"/>
          <w:bCs w:val="1"/>
          <w:color w:val="auto"/>
        </w:rPr>
        <w:t>Subsidiary</w:t>
      </w:r>
      <w:r>
        <w:rPr>
          <w:rFonts w:ascii="Arial" w:cs="Arial" w:eastAsia="Arial" w:hAnsi="Arial"/>
          <w:sz w:val="21"/>
          <w:szCs w:val="21"/>
          <w:color w:val="auto"/>
        </w:rPr>
        <w:t>” or to “</w:t>
      </w:r>
      <w:r>
        <w:rPr>
          <w:rFonts w:ascii="Arial" w:cs="Arial" w:eastAsia="Arial" w:hAnsi="Arial"/>
          <w:sz w:val="21"/>
          <w:szCs w:val="21"/>
          <w:b w:val="1"/>
          <w:bCs w:val="1"/>
          <w:color w:val="auto"/>
        </w:rPr>
        <w:t>Subsidiaries</w:t>
      </w:r>
      <w:r>
        <w:rPr>
          <w:rFonts w:ascii="Arial" w:cs="Arial" w:eastAsia="Arial" w:hAnsi="Arial"/>
          <w:sz w:val="21"/>
          <w:szCs w:val="21"/>
          <w:color w:val="auto"/>
        </w:rPr>
        <w:t>” shall refer to a Subsidiary or Subsidiaries of a Note Party.</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“Subsidiary Guarantor” </w:t>
      </w:r>
      <w:r>
        <w:rPr>
          <w:rFonts w:ascii="Arial" w:cs="Arial" w:eastAsia="Arial" w:hAnsi="Arial"/>
          <w:sz w:val="22"/>
          <w:szCs w:val="22"/>
          <w:color w:val="auto"/>
        </w:rPr>
        <w:t>means each Subsidiary that has executed and delivered the Affiliate Guaranty or has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and delivered a joinder to the Affiliate Guaranty.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“Substitute Purchaser” </w:t>
      </w:r>
      <w:r>
        <w:rPr>
          <w:rFonts w:ascii="Arial" w:cs="Arial" w:eastAsia="Arial" w:hAnsi="Arial"/>
          <w:sz w:val="22"/>
          <w:szCs w:val="22"/>
          <w:color w:val="auto"/>
        </w:rPr>
        <w:t>is defined in Section 21.</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“SVO” </w:t>
      </w:r>
      <w:r>
        <w:rPr>
          <w:rFonts w:ascii="Arial" w:cs="Arial" w:eastAsia="Arial" w:hAnsi="Arial"/>
          <w:sz w:val="22"/>
          <w:szCs w:val="22"/>
          <w:color w:val="auto"/>
        </w:rPr>
        <w:t>means the Securities Valuation Office of the NAIC or any successor to such Office.</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b w:val="1"/>
          <w:bCs w:val="1"/>
          <w:color w:val="auto"/>
        </w:rPr>
        <w:t xml:space="preserve">“Swap Contract” </w:t>
      </w:r>
      <w:r>
        <w:rPr>
          <w:rFonts w:ascii="Arial" w:cs="Arial" w:eastAsia="Arial" w:hAnsi="Arial"/>
          <w:sz w:val="21"/>
          <w:szCs w:val="21"/>
          <w:color w:val="auto"/>
        </w:rPr>
        <w:t>means (a) any and all rate swap transactions, basis swaps, credit derivative transactions, forward rate</w:t>
      </w:r>
      <w:r>
        <w:rPr>
          <w:rFonts w:ascii="Arial" w:cs="Arial" w:eastAsia="Arial" w:hAnsi="Arial"/>
          <w:sz w:val="21"/>
          <w:szCs w:val="21"/>
          <w:b w:val="1"/>
          <w:bCs w:val="1"/>
          <w:color w:val="auto"/>
        </w:rPr>
        <w:t xml:space="preserve"> </w:t>
      </w:r>
      <w:r>
        <w:rPr>
          <w:rFonts w:ascii="Arial" w:cs="Arial" w:eastAsia="Arial" w:hAnsi="Arial"/>
          <w:sz w:val="21"/>
          <w:szCs w:val="21"/>
          <w:color w:val="auto"/>
        </w:rPr>
        <w:t>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w:t>
      </w:r>
    </w:p>
    <w:p>
      <w:pPr>
        <w:spacing w:after="0" w:line="205"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26</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109" w:name="page110"/>
    <w:bookmarkEnd w:id="109"/>
    <w:p>
      <w:pPr>
        <w:jc w:val="both"/>
        <w:spacing w:after="0" w:line="338" w:lineRule="auto"/>
        <w:rPr>
          <w:sz w:val="20"/>
          <w:szCs w:val="20"/>
          <w:color w:val="auto"/>
        </w:rPr>
      </w:pPr>
      <w:r>
        <w:rPr>
          <w:rFonts w:ascii="Arial" w:cs="Arial" w:eastAsia="Arial" w:hAnsi="Arial"/>
          <w:sz w:val="19"/>
          <w:szCs w:val="19"/>
          <w:color w:val="auto"/>
        </w:rPr>
        <w:t xml:space="preserve">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i w:val="1"/>
          <w:iCs w:val="1"/>
          <w:color w:val="auto"/>
        </w:rPr>
        <w:t>“Master</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w:t>
      </w:r>
      <w:r>
        <w:rPr>
          <w:rFonts w:ascii="Arial" w:cs="Arial" w:eastAsia="Arial" w:hAnsi="Arial"/>
          <w:sz w:val="19"/>
          <w:szCs w:val="19"/>
          <w:color w:val="auto"/>
        </w:rPr>
        <w:t>), including any such obligations or liabilities under any Master Agreement.</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b w:val="1"/>
          <w:bCs w:val="1"/>
          <w:color w:val="auto"/>
        </w:rPr>
        <w:t xml:space="preserve">“Swap Termination Value” </w:t>
      </w:r>
      <w:r>
        <w:rPr>
          <w:rFonts w:ascii="Arial" w:cs="Arial" w:eastAsia="Arial" w:hAnsi="Arial"/>
          <w:sz w:val="22"/>
          <w:szCs w:val="22"/>
          <w:color w:val="auto"/>
        </w:rPr>
        <w:t>means, in respect of any one or more Swap Contracts, after taking into account the effect of</w:t>
      </w:r>
      <w:r>
        <w:rPr>
          <w:rFonts w:ascii="Arial" w:cs="Arial" w:eastAsia="Arial" w:hAnsi="Arial"/>
          <w:sz w:val="22"/>
          <w:szCs w:val="22"/>
          <w:b w:val="1"/>
          <w:bCs w:val="1"/>
          <w:color w:val="auto"/>
        </w:rPr>
        <w:t xml:space="preserve"> </w:t>
      </w:r>
      <w:r>
        <w:rPr>
          <w:rFonts w:ascii="Arial" w:cs="Arial" w:eastAsia="Arial" w:hAnsi="Arial"/>
          <w:sz w:val="22"/>
          <w:szCs w:val="22"/>
          <w:color w:val="auto"/>
        </w:rPr>
        <w:t>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w:t>
      </w:r>
    </w:p>
    <w:p>
      <w:pPr>
        <w:spacing w:after="0" w:line="211"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“Synthetic Debt” </w:t>
      </w:r>
      <w:r>
        <w:rPr>
          <w:rFonts w:ascii="Arial" w:cs="Arial" w:eastAsia="Arial" w:hAnsi="Arial"/>
          <w:sz w:val="19"/>
          <w:szCs w:val="19"/>
          <w:color w:val="auto"/>
        </w:rPr>
        <w:t>means, with respect to any Person as of any date of determination thereof, all obligations of such Person</w:t>
      </w:r>
      <w:r>
        <w:rPr>
          <w:rFonts w:ascii="Arial" w:cs="Arial" w:eastAsia="Arial" w:hAnsi="Arial"/>
          <w:sz w:val="19"/>
          <w:szCs w:val="19"/>
          <w:b w:val="1"/>
          <w:bCs w:val="1"/>
          <w:color w:val="auto"/>
        </w:rPr>
        <w:t xml:space="preserve"> </w:t>
      </w:r>
      <w:r>
        <w:rPr>
          <w:rFonts w:ascii="Arial" w:cs="Arial" w:eastAsia="Arial" w:hAnsi="Arial"/>
          <w:sz w:val="19"/>
          <w:szCs w:val="19"/>
          <w:color w:val="auto"/>
        </w:rPr>
        <w:t>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61"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Synthetic Lease Obligation”</w:t>
      </w:r>
      <w:r>
        <w:rPr>
          <w:rFonts w:ascii="Arial" w:cs="Arial" w:eastAsia="Arial" w:hAnsi="Arial"/>
          <w:sz w:val="19"/>
          <w:szCs w:val="19"/>
          <w:color w:val="auto"/>
        </w:rPr>
        <w:t xml:space="preserve">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“Third Closing” </w:t>
      </w:r>
      <w:r>
        <w:rPr>
          <w:rFonts w:ascii="Arial" w:cs="Arial" w:eastAsia="Arial" w:hAnsi="Arial"/>
          <w:sz w:val="22"/>
          <w:szCs w:val="22"/>
          <w:color w:val="auto"/>
        </w:rPr>
        <w:t>is defined in Section 3(a).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“Total Asset Value” </w:t>
      </w:r>
      <w:r>
        <w:rPr>
          <w:rFonts w:ascii="Arial" w:cs="Arial" w:eastAsia="Arial" w:hAnsi="Arial"/>
          <w:sz w:val="19"/>
          <w:szCs w:val="19"/>
          <w:color w:val="auto"/>
        </w:rPr>
        <w:t>or</w:t>
      </w:r>
      <w:r>
        <w:rPr>
          <w:rFonts w:ascii="Arial" w:cs="Arial" w:eastAsia="Arial" w:hAnsi="Arial"/>
          <w:sz w:val="19"/>
          <w:szCs w:val="19"/>
          <w:b w:val="1"/>
          <w:bCs w:val="1"/>
          <w:color w:val="auto"/>
        </w:rPr>
        <w:t xml:space="preserve"> “TAV” </w:t>
      </w:r>
      <w:r>
        <w:rPr>
          <w:rFonts w:ascii="Arial" w:cs="Arial" w:eastAsia="Arial" w:hAnsi="Arial"/>
          <w:sz w:val="19"/>
          <w:szCs w:val="19"/>
          <w:color w:val="auto"/>
        </w:rPr>
        <w:t>means, as of any time for the Consolidated Group, without duplication, (a) an amount equal</w:t>
      </w:r>
    </w:p>
    <w:p>
      <w:pPr>
        <w:spacing w:after="0" w:line="85" w:lineRule="exact"/>
        <w:rPr>
          <w:sz w:val="20"/>
          <w:szCs w:val="20"/>
          <w:color w:val="auto"/>
        </w:rPr>
      </w:pPr>
    </w:p>
    <w:p>
      <w:pPr>
        <w:jc w:val="both"/>
        <w:ind w:firstLine="8"/>
        <w:spacing w:after="0" w:line="288" w:lineRule="auto"/>
        <w:tabs>
          <w:tab w:leader="none" w:pos="273"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the sum of the Portfolio Property Net Operating Income of each Portfolio Property owned, or ground leased pursuant to an Eligible Ground Lease, by the Consolidated Group for the then most recently ended fiscal quarter of the REIT for which financial statements have been provided to the holders pursuant to Section 7.1(a) or (b) (excluding each Disposed Portfolio Property, each Newly-Acquired Portfolio Property and each Non-Stabilized</w:t>
      </w:r>
    </w:p>
    <w:p>
      <w:pPr>
        <w:spacing w:after="0" w:line="217"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27</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110" w:name="page111"/>
    <w:bookmarkEnd w:id="110"/>
    <w:p>
      <w:pPr>
        <w:spacing w:after="0"/>
        <w:rPr>
          <w:sz w:val="20"/>
          <w:szCs w:val="20"/>
          <w:color w:val="auto"/>
        </w:rPr>
      </w:pPr>
      <w:r>
        <w:rPr>
          <w:rFonts w:ascii="Arial" w:cs="Arial" w:eastAsia="Arial" w:hAnsi="Arial"/>
          <w:sz w:val="19"/>
          <w:szCs w:val="19"/>
          <w:color w:val="auto"/>
        </w:rPr>
        <w:t xml:space="preserve">Portfolio Property),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the Applicable Capitalization Rate for each such Portfolio Property,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four, </w:t>
      </w:r>
      <w:r>
        <w:rPr>
          <w:rFonts w:ascii="Arial" w:cs="Arial" w:eastAsia="Arial" w:hAnsi="Arial"/>
          <w:sz w:val="19"/>
          <w:szCs w:val="19"/>
          <w:i w:val="1"/>
          <w:iCs w:val="1"/>
          <w:color w:val="auto"/>
        </w:rPr>
        <w:t>plus</w:t>
      </w:r>
    </w:p>
    <w:p>
      <w:pPr>
        <w:spacing w:after="0" w:line="79" w:lineRule="exact"/>
        <w:rPr>
          <w:sz w:val="20"/>
          <w:szCs w:val="20"/>
          <w:color w:val="auto"/>
        </w:rPr>
      </w:pPr>
    </w:p>
    <w:p>
      <w:pPr>
        <w:jc w:val="both"/>
        <w:ind w:firstLine="8"/>
        <w:spacing w:after="0" w:line="299" w:lineRule="auto"/>
        <w:tabs>
          <w:tab w:leader="none" w:pos="319"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the acquisition cost paid by the applicable member(s) of the Consolidated Group for each Newly-Acquired Portfolio Property, </w:t>
      </w:r>
      <w:r>
        <w:rPr>
          <w:rFonts w:ascii="Arial" w:cs="Arial" w:eastAsia="Arial" w:hAnsi="Arial"/>
          <w:sz w:val="21"/>
          <w:szCs w:val="21"/>
          <w:i w:val="1"/>
          <w:iCs w:val="1"/>
          <w:color w:val="auto"/>
        </w:rPr>
        <w:t xml:space="preserve">plus </w:t>
      </w:r>
      <w:r>
        <w:rPr>
          <w:rFonts w:ascii="Arial" w:cs="Arial" w:eastAsia="Arial" w:hAnsi="Arial"/>
          <w:sz w:val="21"/>
          <w:szCs w:val="21"/>
          <w:color w:val="auto"/>
        </w:rPr>
        <w:t>(c) the aggregate book value of all Permitted Investments owned by the Consolidated Group at such time,</w:t>
      </w:r>
      <w:r>
        <w:rPr>
          <w:rFonts w:ascii="Arial" w:cs="Arial" w:eastAsia="Arial" w:hAnsi="Arial"/>
          <w:sz w:val="21"/>
          <w:szCs w:val="21"/>
          <w:i w:val="1"/>
          <w:iCs w:val="1"/>
          <w:color w:val="auto"/>
        </w:rPr>
        <w:t xml:space="preserve"> plus </w:t>
      </w:r>
      <w:r>
        <w:rPr>
          <w:rFonts w:ascii="Arial" w:cs="Arial" w:eastAsia="Arial" w:hAnsi="Arial"/>
          <w:sz w:val="21"/>
          <w:szCs w:val="21"/>
          <w:color w:val="auto"/>
        </w:rPr>
        <w:t>(d)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aggregate undepreciated book value of all Qualified Development Properties and all Non-Stabilized Portfolio Properties at such time, </w:t>
      </w:r>
      <w:r>
        <w:rPr>
          <w:rFonts w:ascii="Arial" w:cs="Arial" w:eastAsia="Arial" w:hAnsi="Arial"/>
          <w:sz w:val="21"/>
          <w:szCs w:val="21"/>
          <w:i w:val="1"/>
          <w:iCs w:val="1"/>
          <w:color w:val="auto"/>
        </w:rPr>
        <w:t>plus</w:t>
      </w:r>
      <w:r>
        <w:rPr>
          <w:rFonts w:ascii="Arial" w:cs="Arial" w:eastAsia="Arial" w:hAnsi="Arial"/>
          <w:sz w:val="21"/>
          <w:szCs w:val="21"/>
          <w:color w:val="auto"/>
        </w:rPr>
        <w:t xml:space="preserve"> (e) the Consolidated Group Pro Rata Share of each of the items referenced in clauses (a) through (d) of this definition (and the components thereof) to the extent relating to Portfolio Properties, Permitted Investments, Qualified Development Properties or Non-Stabilized Portfolio Properties, as applicable, owned by Unconsolidated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for purposes of Section 10.7(b)(iii), (b)(iv), (c), (d) and (e), Total Asset Value shall also include all cash and Cash Equivalents owned by the Consolidated Group at such time.</w:t>
      </w:r>
    </w:p>
    <w:p>
      <w:pPr>
        <w:spacing w:after="0" w:line="2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“Unconsolidated Affiliate” </w:t>
      </w:r>
      <w:r>
        <w:rPr>
          <w:rFonts w:ascii="Arial" w:cs="Arial" w:eastAsia="Arial" w:hAnsi="Arial"/>
          <w:sz w:val="22"/>
          <w:szCs w:val="22"/>
          <w:color w:val="auto"/>
        </w:rPr>
        <w:t>means, at any date, any Person (x) in which the Consolidated Group, directly or indirectly,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holds an Equity Interest, which investment is accounted for in the consolidated financial statements of the Consolidated Group on an equity basis of accounting and (y) whose financial results are not consolidated with the financial results of the Consolidated Group under GAAP.</w:t>
      </w:r>
    </w:p>
    <w:p>
      <w:pPr>
        <w:spacing w:after="0" w:line="20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Unencumbered Asset Value”</w:t>
      </w:r>
      <w:r>
        <w:rPr>
          <w:rFonts w:ascii="Arial" w:cs="Arial" w:eastAsia="Arial" w:hAnsi="Arial"/>
          <w:sz w:val="21"/>
          <w:szCs w:val="21"/>
          <w:color w:val="auto"/>
        </w:rPr>
        <w:t xml:space="preserve"> means, as of any time for the Consolidated Group, without duplication, (a) an amount equal to (i) the sum of the Unencumbered Property NOI of each Unencumbered Eligible Property owned, or ground leased under an Eligible Ground Lease, by the Consolidated Group for the then most recently ended fiscal quarter of the REIT for which financial statements have been provided to the holders pursuant to Section 7.1(a) or (b) (excluding each Unencumbered Eligible Property that is a Disposed Portfolio Property, a Newly-Acquired Portfolio Property or a Non-Stabilized Portfolio Property),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the Applicable Capitalization Rate for each such Unencumbered Eligible Property,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(ii) four, </w:t>
      </w:r>
      <w:r>
        <w:rPr>
          <w:rFonts w:ascii="Arial" w:cs="Arial" w:eastAsia="Arial" w:hAnsi="Arial"/>
          <w:sz w:val="21"/>
          <w:szCs w:val="21"/>
          <w:i w:val="1"/>
          <w:iCs w:val="1"/>
          <w:color w:val="auto"/>
        </w:rPr>
        <w:t>plus</w:t>
      </w:r>
      <w:r>
        <w:rPr>
          <w:rFonts w:ascii="Arial" w:cs="Arial" w:eastAsia="Arial" w:hAnsi="Arial"/>
          <w:sz w:val="21"/>
          <w:szCs w:val="21"/>
          <w:color w:val="auto"/>
        </w:rPr>
        <w:t xml:space="preserve"> (b) the undepreciated book value at such time of each Unencumbered Eligible Property that is a Qualified Development Property or a Non-Stabilized Portfolio Property, </w:t>
      </w:r>
      <w:r>
        <w:rPr>
          <w:rFonts w:ascii="Arial" w:cs="Arial" w:eastAsia="Arial" w:hAnsi="Arial"/>
          <w:sz w:val="21"/>
          <w:szCs w:val="21"/>
          <w:i w:val="1"/>
          <w:iCs w:val="1"/>
          <w:color w:val="auto"/>
        </w:rPr>
        <w:t>plus</w:t>
      </w:r>
      <w:r>
        <w:rPr>
          <w:rFonts w:ascii="Arial" w:cs="Arial" w:eastAsia="Arial" w:hAnsi="Arial"/>
          <w:sz w:val="21"/>
          <w:szCs w:val="21"/>
          <w:color w:val="auto"/>
        </w:rPr>
        <w:t xml:space="preserve"> (c) the acquisition cost paid by the applicable member(s) of the Consolidated Group for each Unencumbered Eligible Property that is a Newly-Acquired Portfolio Property;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with respect to the acquisition of any Newly-Acquired Property by a Controlled Joint Venture, only the Note Party Pro Rata Share of such acquisition cost attributable to the Note Parties’ interests in such Controlled Joint Venture shall be included in the calculation of Unencumbered Asset Value; </w:t>
      </w:r>
      <w:r>
        <w:rPr>
          <w:rFonts w:ascii="Arial" w:cs="Arial" w:eastAsia="Arial" w:hAnsi="Arial"/>
          <w:sz w:val="21"/>
          <w:szCs w:val="21"/>
          <w:i w:val="1"/>
          <w:iCs w:val="1"/>
          <w:color w:val="auto"/>
        </w:rPr>
        <w:t xml:space="preserve">provided, further, </w:t>
      </w:r>
      <w:r>
        <w:rPr>
          <w:rFonts w:ascii="Arial" w:cs="Arial" w:eastAsia="Arial" w:hAnsi="Arial"/>
          <w:sz w:val="21"/>
          <w:szCs w:val="21"/>
          <w:color w:val="auto"/>
        </w:rPr>
        <w:t>that:</w:t>
      </w:r>
    </w:p>
    <w:p>
      <w:pPr>
        <w:spacing w:after="0" w:line="216" w:lineRule="exact"/>
        <w:rPr>
          <w:sz w:val="20"/>
          <w:szCs w:val="20"/>
          <w:color w:val="auto"/>
        </w:rPr>
      </w:pPr>
    </w:p>
    <w:p>
      <w:pPr>
        <w:jc w:val="both"/>
        <w:ind w:left="660" w:firstLine="1617"/>
        <w:spacing w:after="0" w:line="346" w:lineRule="auto"/>
        <w:tabs>
          <w:tab w:leader="none" w:pos="2977" w:val="left"/>
        </w:tabs>
        <w:numPr>
          <w:ilvl w:val="0"/>
          <w:numId w:val="96"/>
        </w:numPr>
        <w:rPr>
          <w:rFonts w:ascii="Arial" w:cs="Arial" w:eastAsia="Arial" w:hAnsi="Arial"/>
          <w:sz w:val="19"/>
          <w:szCs w:val="19"/>
          <w:color w:val="auto"/>
        </w:rPr>
      </w:pPr>
      <w:r>
        <w:rPr>
          <w:rFonts w:ascii="Arial" w:cs="Arial" w:eastAsia="Arial" w:hAnsi="Arial"/>
          <w:sz w:val="19"/>
          <w:szCs w:val="19"/>
          <w:color w:val="auto"/>
        </w:rPr>
        <w:t>not more than 20% of the Unencumbered Asset Value at any time may be in respect of Unencumbered Eligible Properties that are not office, retail or multi-family properties (and, for purposes of determining compliance with such 20% limitation, if an Unencumbered Eligible Property is considered “multi-use,” the Company shall be permitted to include the Unencumbered Property NOI of such Unencumbered Eligible Property’s</w:t>
      </w:r>
    </w:p>
    <w:p>
      <w:pPr>
        <w:spacing w:after="0" w:line="172"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28</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111" w:name="page112"/>
    <w:bookmarkEnd w:id="111"/>
    <w:p>
      <w:pPr>
        <w:ind w:left="660"/>
        <w:spacing w:after="0" w:line="302" w:lineRule="auto"/>
        <w:rPr>
          <w:sz w:val="20"/>
          <w:szCs w:val="20"/>
          <w:color w:val="auto"/>
        </w:rPr>
      </w:pPr>
      <w:r>
        <w:rPr>
          <w:rFonts w:ascii="Arial" w:cs="Arial" w:eastAsia="Arial" w:hAnsi="Arial"/>
          <w:sz w:val="22"/>
          <w:szCs w:val="22"/>
          <w:color w:val="auto"/>
        </w:rPr>
        <w:t>office, retail or multi-family component without limitation under this clause (a)), with any excess over the foregoing limit being excluded from the Unencumbered Asset Value;</w:t>
      </w:r>
    </w:p>
    <w:p>
      <w:pPr>
        <w:spacing w:after="0" w:line="201" w:lineRule="exact"/>
        <w:rPr>
          <w:sz w:val="20"/>
          <w:szCs w:val="20"/>
          <w:color w:val="auto"/>
        </w:rPr>
      </w:pPr>
    </w:p>
    <w:p>
      <w:pPr>
        <w:jc w:val="both"/>
        <w:ind w:left="660" w:firstLine="1617"/>
        <w:spacing w:after="0" w:line="357" w:lineRule="auto"/>
        <w:tabs>
          <w:tab w:leader="none" w:pos="2986" w:val="left"/>
        </w:tabs>
        <w:numPr>
          <w:ilvl w:val="0"/>
          <w:numId w:val="97"/>
        </w:numPr>
        <w:rPr>
          <w:rFonts w:ascii="Arial" w:cs="Arial" w:eastAsia="Arial" w:hAnsi="Arial"/>
          <w:sz w:val="19"/>
          <w:szCs w:val="19"/>
          <w:color w:val="auto"/>
        </w:rPr>
      </w:pPr>
      <w:r>
        <w:rPr>
          <w:rFonts w:ascii="Arial" w:cs="Arial" w:eastAsia="Arial" w:hAnsi="Arial"/>
          <w:sz w:val="19"/>
          <w:szCs w:val="19"/>
          <w:color w:val="auto"/>
        </w:rPr>
        <w:t>not more than 20% of the Unencumbered Asset Value at any time may be in respect of Unencumbered Eligible Properties that are either owned by a Controlled Joint Venture or ground leased under an Eligible Ground Lease, with any excess over the foregoing limit being excluded from the Unencumbered Asset Value;</w:t>
      </w:r>
    </w:p>
    <w:p>
      <w:pPr>
        <w:spacing w:after="0" w:line="159" w:lineRule="exact"/>
        <w:rPr>
          <w:rFonts w:ascii="Arial" w:cs="Arial" w:eastAsia="Arial" w:hAnsi="Arial"/>
          <w:sz w:val="19"/>
          <w:szCs w:val="19"/>
          <w:color w:val="auto"/>
        </w:rPr>
      </w:pPr>
    </w:p>
    <w:p>
      <w:pPr>
        <w:jc w:val="both"/>
        <w:ind w:left="660" w:firstLine="1617"/>
        <w:spacing w:after="0" w:line="292" w:lineRule="auto"/>
        <w:tabs>
          <w:tab w:leader="none" w:pos="2977" w:val="left"/>
        </w:tabs>
        <w:numPr>
          <w:ilvl w:val="0"/>
          <w:numId w:val="97"/>
        </w:numPr>
        <w:rPr>
          <w:rFonts w:ascii="Arial" w:cs="Arial" w:eastAsia="Arial" w:hAnsi="Arial"/>
          <w:sz w:val="22"/>
          <w:szCs w:val="22"/>
          <w:color w:val="auto"/>
        </w:rPr>
      </w:pPr>
      <w:r>
        <w:rPr>
          <w:rFonts w:ascii="Arial" w:cs="Arial" w:eastAsia="Arial" w:hAnsi="Arial"/>
          <w:sz w:val="22"/>
          <w:szCs w:val="22"/>
          <w:color w:val="auto"/>
        </w:rPr>
        <w:t>not more than 10% of the Unencumbered Asset Value at any time may be in respect of Unencumbered Eligible Properties that constitute Qualified Development Properties, with any excess over the foregoing limit being excluded from the Unencumbered Asset Value; and</w:t>
      </w:r>
    </w:p>
    <w:p>
      <w:pPr>
        <w:spacing w:after="0" w:line="211" w:lineRule="exact"/>
        <w:rPr>
          <w:rFonts w:ascii="Arial" w:cs="Arial" w:eastAsia="Arial" w:hAnsi="Arial"/>
          <w:sz w:val="22"/>
          <w:szCs w:val="22"/>
          <w:color w:val="auto"/>
        </w:rPr>
      </w:pPr>
    </w:p>
    <w:p>
      <w:pPr>
        <w:jc w:val="both"/>
        <w:ind w:left="660" w:firstLine="1617"/>
        <w:spacing w:after="0" w:line="292" w:lineRule="auto"/>
        <w:tabs>
          <w:tab w:leader="none" w:pos="2986" w:val="left"/>
        </w:tabs>
        <w:numPr>
          <w:ilvl w:val="0"/>
          <w:numId w:val="97"/>
        </w:numPr>
        <w:rPr>
          <w:rFonts w:ascii="Arial" w:cs="Arial" w:eastAsia="Arial" w:hAnsi="Arial"/>
          <w:sz w:val="22"/>
          <w:szCs w:val="22"/>
          <w:color w:val="auto"/>
        </w:rPr>
      </w:pPr>
      <w:r>
        <w:rPr>
          <w:rFonts w:ascii="Arial" w:cs="Arial" w:eastAsia="Arial" w:hAnsi="Arial"/>
          <w:sz w:val="22"/>
          <w:szCs w:val="22"/>
          <w:color w:val="auto"/>
        </w:rPr>
        <w:t>not more than 20% of the Unencumbered Asset Value at any time may be in respect of Unencumbered Eligible Properties that are referenced in clauses (b) and (c) above, with any excess over the foregoing limit being excluded from the Unencumbered Asset Value.</w:t>
      </w:r>
    </w:p>
    <w:p>
      <w:pPr>
        <w:spacing w:after="0" w:line="205" w:lineRule="exact"/>
        <w:rPr>
          <w:sz w:val="20"/>
          <w:szCs w:val="20"/>
          <w:color w:val="auto"/>
        </w:rPr>
      </w:pPr>
    </w:p>
    <w:p>
      <w:pPr>
        <w:ind w:firstLine="648"/>
        <w:spacing w:after="0" w:line="308" w:lineRule="auto"/>
        <w:rPr>
          <w:sz w:val="20"/>
          <w:szCs w:val="20"/>
          <w:color w:val="auto"/>
        </w:rPr>
      </w:pPr>
      <w:r>
        <w:rPr>
          <w:rFonts w:ascii="Arial" w:cs="Arial" w:eastAsia="Arial" w:hAnsi="Arial"/>
          <w:sz w:val="22"/>
          <w:szCs w:val="22"/>
          <w:b w:val="1"/>
          <w:bCs w:val="1"/>
          <w:color w:val="auto"/>
        </w:rPr>
        <w:t xml:space="preserve">“Unencumbered Eligible Property” </w:t>
      </w:r>
      <w:r>
        <w:rPr>
          <w:rFonts w:ascii="Arial" w:cs="Arial" w:eastAsia="Arial" w:hAnsi="Arial"/>
          <w:sz w:val="22"/>
          <w:szCs w:val="22"/>
          <w:color w:val="auto"/>
        </w:rPr>
        <w:t>means, at any time, an Unencumbered Portfolio Property that meets each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criteria at such time:</w:t>
      </w:r>
    </w:p>
    <w:p>
      <w:pPr>
        <w:spacing w:after="0" w:line="194" w:lineRule="exact"/>
        <w:rPr>
          <w:sz w:val="20"/>
          <w:szCs w:val="20"/>
          <w:color w:val="auto"/>
        </w:rPr>
      </w:pPr>
    </w:p>
    <w:p>
      <w:pPr>
        <w:ind w:left="2740" w:hanging="463"/>
        <w:spacing w:after="0"/>
        <w:tabs>
          <w:tab w:leader="none" w:pos="27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such Unencumbered Portfolio Property is located in the United States of America;</w:t>
      </w:r>
    </w:p>
    <w:p>
      <w:pPr>
        <w:spacing w:after="0" w:line="287" w:lineRule="exact"/>
        <w:rPr>
          <w:rFonts w:ascii="Arial" w:cs="Arial" w:eastAsia="Arial" w:hAnsi="Arial"/>
          <w:sz w:val="22"/>
          <w:szCs w:val="22"/>
          <w:color w:val="auto"/>
        </w:rPr>
      </w:pPr>
    </w:p>
    <w:p>
      <w:pPr>
        <w:jc w:val="both"/>
        <w:ind w:left="660" w:firstLine="1617"/>
        <w:spacing w:after="0" w:line="288" w:lineRule="auto"/>
        <w:tabs>
          <w:tab w:leader="none" w:pos="2867" w:val="left"/>
        </w:tabs>
        <w:numPr>
          <w:ilvl w:val="0"/>
          <w:numId w:val="98"/>
        </w:numPr>
        <w:rPr>
          <w:rFonts w:ascii="Arial" w:cs="Arial" w:eastAsia="Arial" w:hAnsi="Arial"/>
          <w:sz w:val="22"/>
          <w:szCs w:val="22"/>
          <w:color w:val="auto"/>
        </w:rPr>
      </w:pPr>
      <w:r>
        <w:rPr>
          <w:rFonts w:ascii="Arial" w:cs="Arial" w:eastAsia="Arial" w:hAnsi="Arial"/>
          <w:sz w:val="22"/>
          <w:szCs w:val="22"/>
          <w:color w:val="auto"/>
        </w:rPr>
        <w:t>such Unencumbered Portfolio Property (and the income therefrom and proceeds thereof) is not subject to any Liens or other encumbrances (other than Permitted Unencumbered Property Liens), and such Unencumbered Portfolio Property is in good order and condition and is free of all title, survey and other defects (other than defects constituting Permitted Unencumbered Property Liens);</w:t>
      </w:r>
    </w:p>
    <w:p>
      <w:pPr>
        <w:spacing w:after="0" w:line="217" w:lineRule="exact"/>
        <w:rPr>
          <w:rFonts w:ascii="Arial" w:cs="Arial" w:eastAsia="Arial" w:hAnsi="Arial"/>
          <w:sz w:val="22"/>
          <w:szCs w:val="22"/>
          <w:color w:val="auto"/>
        </w:rPr>
      </w:pPr>
    </w:p>
    <w:p>
      <w:pPr>
        <w:jc w:val="both"/>
        <w:ind w:left="660" w:firstLine="1617"/>
        <w:spacing w:after="0" w:line="287" w:lineRule="auto"/>
        <w:tabs>
          <w:tab w:leader="none" w:pos="2944"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the Equity Interests of each Person that directly owns or ground leases an interest in such Unencumbered Portfolio Property (the </w:t>
      </w:r>
      <w:r>
        <w:rPr>
          <w:rFonts w:ascii="Arial" w:cs="Arial" w:eastAsia="Arial" w:hAnsi="Arial"/>
          <w:sz w:val="22"/>
          <w:szCs w:val="22"/>
          <w:i w:val="1"/>
          <w:iCs w:val="1"/>
          <w:color w:val="auto"/>
        </w:rPr>
        <w:t>“Direct Owner”</w:t>
      </w:r>
      <w:r>
        <w:rPr>
          <w:rFonts w:ascii="Arial" w:cs="Arial" w:eastAsia="Arial" w:hAnsi="Arial"/>
          <w:sz w:val="22"/>
          <w:szCs w:val="22"/>
          <w:color w:val="auto"/>
        </w:rPr>
        <w:t xml:space="preserve">), and those of each Subsidiary of the Company that directly or indirectly owns any Equity Interests of each Direct Owner (each an </w:t>
      </w:r>
      <w:r>
        <w:rPr>
          <w:rFonts w:ascii="Arial" w:cs="Arial" w:eastAsia="Arial" w:hAnsi="Arial"/>
          <w:sz w:val="22"/>
          <w:szCs w:val="22"/>
          <w:i w:val="1"/>
          <w:iCs w:val="1"/>
          <w:color w:val="auto"/>
        </w:rPr>
        <w:t>“Indirect Owner”</w:t>
      </w:r>
      <w:r>
        <w:rPr>
          <w:rFonts w:ascii="Arial" w:cs="Arial" w:eastAsia="Arial" w:hAnsi="Arial"/>
          <w:sz w:val="22"/>
          <w:szCs w:val="22"/>
          <w:color w:val="auto"/>
        </w:rPr>
        <w:t>), are not junior in any manner to any other class of Equity Interests in such Person or subject to any Liens or other encumbrances (other than Liens permitted under Section 10.4(a), (b) or (l));</w:t>
      </w:r>
    </w:p>
    <w:p>
      <w:pPr>
        <w:spacing w:after="0" w:line="216" w:lineRule="exact"/>
        <w:rPr>
          <w:rFonts w:ascii="Arial" w:cs="Arial" w:eastAsia="Arial" w:hAnsi="Arial"/>
          <w:sz w:val="22"/>
          <w:szCs w:val="22"/>
          <w:color w:val="auto"/>
        </w:rPr>
      </w:pPr>
    </w:p>
    <w:p>
      <w:pPr>
        <w:ind w:left="660" w:firstLine="1617"/>
        <w:spacing w:after="0" w:line="302" w:lineRule="auto"/>
        <w:tabs>
          <w:tab w:leader="none" w:pos="2901"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no Direct Owner or Indirect Owner of such Unencumbered Portfolio Property shall have any Indebtedness (other than the Obligations, the </w:t>
      </w:r>
      <w:r>
        <w:rPr>
          <w:rFonts w:ascii="Arial" w:cs="Arial" w:eastAsia="Arial" w:hAnsi="Arial"/>
          <w:sz w:val="22"/>
          <w:szCs w:val="22"/>
          <w:i w:val="1"/>
          <w:iCs w:val="1"/>
          <w:color w:val="auto"/>
        </w:rPr>
        <w:t>“Obligations”</w:t>
      </w:r>
      <w:r>
        <w:rPr>
          <w:rFonts w:ascii="Arial" w:cs="Arial" w:eastAsia="Arial" w:hAnsi="Arial"/>
          <w:sz w:val="22"/>
          <w:szCs w:val="22"/>
          <w:color w:val="auto"/>
        </w:rPr>
        <w:t xml:space="preserve"> under the Primary</w:t>
      </w:r>
    </w:p>
    <w:p>
      <w:pPr>
        <w:spacing w:after="0" w:line="20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29</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112" w:name="page113"/>
    <w:bookmarkEnd w:id="112"/>
    <w:p>
      <w:pPr>
        <w:ind w:left="660" w:right="20"/>
        <w:spacing w:after="0" w:line="302" w:lineRule="auto"/>
        <w:rPr>
          <w:sz w:val="20"/>
          <w:szCs w:val="20"/>
          <w:color w:val="auto"/>
        </w:rPr>
      </w:pPr>
      <w:r>
        <w:rPr>
          <w:rFonts w:ascii="Arial" w:cs="Arial" w:eastAsia="Arial" w:hAnsi="Arial"/>
          <w:sz w:val="22"/>
          <w:szCs w:val="22"/>
          <w:color w:val="auto"/>
        </w:rPr>
        <w:t>Credit Facility and other Indebtedness permitted under Section 10.5) and shall not be subject to any proceedings under any Debtor Relief Law;</w:t>
      </w:r>
    </w:p>
    <w:p>
      <w:pPr>
        <w:spacing w:after="0" w:line="201" w:lineRule="exact"/>
        <w:rPr>
          <w:sz w:val="20"/>
          <w:szCs w:val="20"/>
          <w:color w:val="auto"/>
        </w:rPr>
      </w:pPr>
    </w:p>
    <w:p>
      <w:pPr>
        <w:ind w:left="660" w:right="20" w:firstLine="1617"/>
        <w:spacing w:after="0" w:line="302" w:lineRule="auto"/>
        <w:tabs>
          <w:tab w:leader="none" w:pos="2946" w:val="left"/>
        </w:tabs>
        <w:numPr>
          <w:ilvl w:val="0"/>
          <w:numId w:val="99"/>
        </w:numPr>
        <w:rPr>
          <w:rFonts w:ascii="Arial" w:cs="Arial" w:eastAsia="Arial" w:hAnsi="Arial"/>
          <w:sz w:val="22"/>
          <w:szCs w:val="22"/>
          <w:color w:val="auto"/>
        </w:rPr>
      </w:pPr>
      <w:r>
        <w:rPr>
          <w:rFonts w:ascii="Arial" w:cs="Arial" w:eastAsia="Arial" w:hAnsi="Arial"/>
          <w:sz w:val="22"/>
          <w:szCs w:val="22"/>
          <w:color w:val="auto"/>
        </w:rPr>
        <w:t>such Unencumbered Portfolio Property is free of Hazardous Materials except as would not materially affect the value of such Unencumbered Portfolio Property;</w:t>
      </w:r>
    </w:p>
    <w:p>
      <w:pPr>
        <w:spacing w:after="0" w:line="200" w:lineRule="exact"/>
        <w:rPr>
          <w:rFonts w:ascii="Arial" w:cs="Arial" w:eastAsia="Arial" w:hAnsi="Arial"/>
          <w:sz w:val="22"/>
          <w:szCs w:val="22"/>
          <w:color w:val="auto"/>
        </w:rPr>
      </w:pPr>
    </w:p>
    <w:p>
      <w:pPr>
        <w:jc w:val="both"/>
        <w:ind w:left="660" w:firstLine="1617"/>
        <w:spacing w:after="0" w:line="333" w:lineRule="auto"/>
        <w:tabs>
          <w:tab w:leader="none" w:pos="2713" w:val="left"/>
        </w:tabs>
        <w:numPr>
          <w:ilvl w:val="0"/>
          <w:numId w:val="99"/>
        </w:numPr>
        <w:rPr>
          <w:rFonts w:ascii="Arial" w:cs="Arial" w:eastAsia="Arial" w:hAnsi="Arial"/>
          <w:sz w:val="19"/>
          <w:szCs w:val="19"/>
          <w:color w:val="auto"/>
        </w:rPr>
      </w:pPr>
      <w:r>
        <w:rPr>
          <w:rFonts w:ascii="Arial" w:cs="Arial" w:eastAsia="Arial" w:hAnsi="Arial"/>
          <w:sz w:val="19"/>
          <w:szCs w:val="19"/>
          <w:color w:val="auto"/>
        </w:rPr>
        <w:t>such Unencumbered Portfolio Property is free and clear of all negative pledges or any restrictions on the ability of the Subsidiary of the Company that owns or ground leases such Unencumbered Portfolio Property to transfer or encumber such Unencumbered Portfolio Property, except for (1) Permitted Pari Passu Encumbrances, and the restrictions on Liens, assignments and transfers of assets existing on the Closing and set forth on Schedule 5.15 and (2) customary restrictions on Liens, assignments and transfers of assets contained in leases, licenses and other Contractual Obligations entered into in the ordinary course of business that (x) do not prevent the grant of a Lien on such Unencumbered Portfolio Property to secure the Obligations, (y) would not prevent a mortgagee of such Unencumbered Portfolio Property from transferring such Unencumbered Portfolio Property in the event such mortgagee were to foreclose on its Lien on such Unencumbered Portfolio Property and (z) do not materially impair or interfere in the use or operations of such Unencumbered Portfolio Property or the remedies of any holder of the Notes under the Note Documents; and</w:t>
      </w:r>
    </w:p>
    <w:p>
      <w:pPr>
        <w:spacing w:after="0" w:line="182" w:lineRule="exact"/>
        <w:rPr>
          <w:rFonts w:ascii="Arial" w:cs="Arial" w:eastAsia="Arial" w:hAnsi="Arial"/>
          <w:sz w:val="19"/>
          <w:szCs w:val="19"/>
          <w:color w:val="auto"/>
        </w:rPr>
      </w:pPr>
    </w:p>
    <w:p>
      <w:pPr>
        <w:jc w:val="both"/>
        <w:ind w:left="660" w:firstLine="1617"/>
        <w:spacing w:after="0" w:line="306" w:lineRule="auto"/>
        <w:tabs>
          <w:tab w:leader="none" w:pos="2812"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in the case of an Unencumbered Portfolio Property other than a Qualified Development Property, after giving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effect to the inclusion of such Unencumbered Portfolio Property as an Unencumbered Eligible Property, the aggregate minimum occupancy for all Unencumbered Portfolio Properties (other than Hotel Properties) included in the calculation of Unencumbered Asset Value shall be at least 80%;</w:t>
      </w:r>
    </w:p>
    <w:p>
      <w:pPr>
        <w:spacing w:after="0" w:line="200" w:lineRule="exact"/>
        <w:rPr>
          <w:sz w:val="20"/>
          <w:szCs w:val="20"/>
          <w:color w:val="auto"/>
        </w:rPr>
      </w:pPr>
    </w:p>
    <w:p>
      <w:pPr>
        <w:jc w:val="both"/>
        <w:spacing w:after="0" w:line="334"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 an Unencumbered Portfolio Property shall not constitute an Unencumbered Eligible Property unless and until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has delivered to the holders a certificate signed by a Responsible Officer of the Company designating such Unencumbered Portfolio Property as an “Unencumbered Eligible Property” and certifying that such Unencumbered Portfolio Property satisfies each of the eligibility criteria set forth in clauses (a) through (g) above (or, in the case an Unencumbered Portfolio Property that satisfies each of the eligibility criteria set forth in clauses (a) through (g) above on the Closing, is listed on Schedule F hereto), (ii) if at any time any Unencumbered Portfolio Property that is included as an “Unencumbered Eligible Property” (whether on the Closing or at any thereafter) ceases to satisfy any of the eligibility criteria set forth in clauses (a) through (g) above, such Unencumbered Portfolio Property shall automatically cease to be an Unencumbered Eligible Property at such time and the Company shall promptly notify the holders in writing thereof and (iii) the Company may rescind the designation of any</w:t>
      </w:r>
    </w:p>
    <w:p>
      <w:pPr>
        <w:spacing w:after="0" w:line="181"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30</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113" w:name="page114"/>
    <w:bookmarkEnd w:id="113"/>
    <w:p>
      <w:pPr>
        <w:jc w:val="both"/>
        <w:spacing w:after="0" w:line="357" w:lineRule="auto"/>
        <w:rPr>
          <w:sz w:val="20"/>
          <w:szCs w:val="20"/>
          <w:color w:val="auto"/>
        </w:rPr>
      </w:pPr>
      <w:r>
        <w:rPr>
          <w:rFonts w:ascii="Arial" w:cs="Arial" w:eastAsia="Arial" w:hAnsi="Arial"/>
          <w:sz w:val="19"/>
          <w:szCs w:val="19"/>
          <w:color w:val="auto"/>
        </w:rPr>
        <w:t xml:space="preserve">Unencumbered Portfolio Property as an “Unencumbered Eligible Property” at any time by providing written notice thereof to the holder so long as (i) no Default or Event of Default has occurred and is continuing or would result therefrom and (ii) the Note Parties are in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compliance with the financial covenants contained in Section 10.9(a) through (f) after giving effect thereto.</w:t>
      </w:r>
    </w:p>
    <w:p>
      <w:pPr>
        <w:spacing w:after="0" w:line="15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Notwithstanding the foregoing, any Unencumbered Portfolio Property shall not be deemed an </w:t>
      </w:r>
      <w:r>
        <w:rPr>
          <w:rFonts w:ascii="Arial" w:cs="Arial" w:eastAsia="Arial" w:hAnsi="Arial"/>
          <w:sz w:val="22"/>
          <w:szCs w:val="22"/>
          <w:i w:val="1"/>
          <w:iCs w:val="1"/>
          <w:color w:val="auto"/>
        </w:rPr>
        <w:t>“Unencumbered Eligible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Property” </w:t>
      </w:r>
      <w:r>
        <w:rPr>
          <w:rFonts w:ascii="Arial" w:cs="Arial" w:eastAsia="Arial" w:hAnsi="Arial"/>
          <w:sz w:val="22"/>
          <w:szCs w:val="22"/>
          <w:color w:val="auto"/>
        </w:rPr>
        <w:t>if any Direct Owner or Indirect Owner that is not a Guarantor is obligated in respect of any outstanding Indebtedness for</w:t>
      </w:r>
      <w:r>
        <w:rPr>
          <w:rFonts w:ascii="Arial" w:cs="Arial" w:eastAsia="Arial" w:hAnsi="Arial"/>
          <w:sz w:val="22"/>
          <w:szCs w:val="22"/>
          <w:i w:val="1"/>
          <w:iCs w:val="1"/>
          <w:color w:val="auto"/>
        </w:rPr>
        <w:t xml:space="preserve"> </w:t>
      </w:r>
      <w:r>
        <w:rPr>
          <w:rFonts w:ascii="Arial" w:cs="Arial" w:eastAsia="Arial" w:hAnsi="Arial"/>
          <w:sz w:val="22"/>
          <w:szCs w:val="22"/>
          <w:color w:val="auto"/>
        </w:rPr>
        <w:t>borrowed money that constitutes Recourse Indebtedness.</w:t>
      </w:r>
    </w:p>
    <w:p>
      <w:pPr>
        <w:spacing w:after="0" w:line="20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b w:val="1"/>
          <w:bCs w:val="1"/>
          <w:color w:val="auto"/>
        </w:rPr>
        <w:t xml:space="preserve">“Unencumbered Portfolio Property” </w:t>
      </w:r>
      <w:r>
        <w:rPr>
          <w:rFonts w:ascii="Arial" w:cs="Arial" w:eastAsia="Arial" w:hAnsi="Arial"/>
          <w:sz w:val="21"/>
          <w:szCs w:val="21"/>
          <w:color w:val="auto"/>
        </w:rPr>
        <w:t xml:space="preserve">means any real property (i) that is 100% directly owned by one or more Wholly-Owned Subsidiaries of the Company that are Guarantors; (ii) that is 100% owned directly by a Controlled Joint Venture or (iii) in which one or more Wholly-Owned Subsidiaries of the Company that are Guarantors or a Controlled Joint Venture, as applicable, holds a 100% ground leasehold interest under an Eligible Ground Lease;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clauses (i) and (iii) of this definition, if the Exemption Conditions exist at any time with respect to a Wholly-Owned Subsidiary of the Company that owns or ground leases all or any portion of such real property, the requirement that such Wholly-Owned Subsidiary be a Guarantor shall not apply to such Wholly-Owned Subsidiary.</w:t>
      </w:r>
    </w:p>
    <w:p>
      <w:pPr>
        <w:spacing w:after="0" w:line="20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Unencumbered Property NOI”</w:t>
      </w:r>
      <w:r>
        <w:rPr>
          <w:rFonts w:ascii="Arial" w:cs="Arial" w:eastAsia="Arial" w:hAnsi="Arial"/>
          <w:sz w:val="21"/>
          <w:szCs w:val="21"/>
          <w:color w:val="auto"/>
        </w:rPr>
        <w:t xml:space="preserve"> means, with respect to any Unencumbered Eligible Property for any fiscal quarter of the REIT, an amount equal to (a) the Portfolio Property Net Operating Income of such Unencumbered Eligible Property for such fiscal quarter, </w:t>
      </w:r>
      <w:r>
        <w:rPr>
          <w:rFonts w:ascii="Arial" w:cs="Arial" w:eastAsia="Arial" w:hAnsi="Arial"/>
          <w:sz w:val="21"/>
          <w:szCs w:val="21"/>
          <w:i w:val="1"/>
          <w:iCs w:val="1"/>
          <w:color w:val="auto"/>
        </w:rPr>
        <w:t>minus</w:t>
      </w:r>
      <w:r>
        <w:rPr>
          <w:rFonts w:ascii="Arial" w:cs="Arial" w:eastAsia="Arial" w:hAnsi="Arial"/>
          <w:sz w:val="21"/>
          <w:szCs w:val="21"/>
          <w:color w:val="auto"/>
        </w:rPr>
        <w:t xml:space="preserve"> (b) the Annual Capital Expenditure Adjustment with respect to such Unencumbered Eligible Property for such fiscal quarter;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 Unencumbered Eligible Property is owned, or ground leased under an Eligible Ground Lease, by a Controlled Joint Venture, the Unencumbered Property NOI of such Unencumbered Eligible Property shall, for such period, be the Note Party Pro Rata Share of such Unencumbered Property NOI.</w:t>
      </w:r>
    </w:p>
    <w:p>
      <w:pPr>
        <w:spacing w:after="0" w:line="19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b w:val="1"/>
          <w:bCs w:val="1"/>
          <w:color w:val="auto"/>
        </w:rPr>
        <w:t xml:space="preserve">“Unrestricted Cash Amount” </w:t>
      </w:r>
      <w:r>
        <w:rPr>
          <w:rFonts w:ascii="Arial" w:cs="Arial" w:eastAsia="Arial" w:hAnsi="Arial"/>
          <w:sz w:val="19"/>
          <w:szCs w:val="19"/>
          <w:color w:val="auto"/>
        </w:rPr>
        <w:t>means, as of any date, an amount equal to the greater of (a) the excess of (i) the aggregate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amount of cash and Cash Equivalents of the Consolidated Group on such date that are not subject to any pledge, Lien or control agreement (excluding statutory Liens in favor of any depositary bank where such cash is maintained),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sum of</w:t>
      </w:r>
    </w:p>
    <w:p>
      <w:pPr>
        <w:spacing w:after="0" w:line="2" w:lineRule="exact"/>
        <w:rPr>
          <w:sz w:val="20"/>
          <w:szCs w:val="20"/>
          <w:color w:val="auto"/>
        </w:rPr>
      </w:pPr>
    </w:p>
    <w:p>
      <w:pPr>
        <w:jc w:val="both"/>
        <w:ind w:firstLine="8"/>
        <w:spacing w:after="0" w:line="306" w:lineRule="auto"/>
        <w:tabs>
          <w:tab w:leader="none" w:pos="307" w:val="left"/>
        </w:tabs>
        <w:numPr>
          <w:ilvl w:val="0"/>
          <w:numId w:val="100"/>
        </w:numPr>
        <w:rPr>
          <w:rFonts w:ascii="Arial" w:cs="Arial" w:eastAsia="Arial" w:hAnsi="Arial"/>
          <w:sz w:val="21"/>
          <w:szCs w:val="21"/>
          <w:color w:val="auto"/>
        </w:rPr>
      </w:pPr>
      <w:r>
        <w:rPr>
          <w:rFonts w:ascii="Arial" w:cs="Arial" w:eastAsia="Arial" w:hAnsi="Arial"/>
          <w:sz w:val="21"/>
          <w:szCs w:val="21"/>
          <w:color w:val="auto"/>
        </w:rPr>
        <w:t>$15,000,000, plus (y) amounts included in the foregoing clause (i) that are held in the name of, or in the possession or control of a Person (other than any possession or control by such Person arising solely from such Person acting in its capacity as a depository or financial intermediary for, or on behalf of, a member of the Consolidated Group) that is not the REIT, the Company or any their respective Subsidiaries as deposits or security for contractual obligations and (b) $0.</w:t>
      </w:r>
    </w:p>
    <w:p>
      <w:pPr>
        <w:spacing w:after="0" w:line="200"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31</w:t>
      </w:r>
      <w:r>
        <w:rPr>
          <w:rFonts w:ascii="MS PGothic" w:cs="MS PGothic" w:eastAsia="MS PGothic" w:hAnsi="MS PGothic"/>
          <w:sz w:val="22"/>
          <w:szCs w:val="22"/>
          <w:color w:val="auto"/>
        </w:rPr>
        <w:t>‑</w:t>
      </w:r>
    </w:p>
    <w:p>
      <w:pPr>
        <w:sectPr>
          <w:pgSz w:w="11900" w:h="16838" w:orient="portrait"/>
          <w:cols w:equalWidth="0" w:num="1">
            <w:col w:w="11420"/>
          </w:cols>
          <w:pgMar w:left="240" w:top="928" w:right="239" w:bottom="1440" w:gutter="0" w:footer="0" w:header="0"/>
        </w:sectPr>
      </w:pPr>
    </w:p>
    <w:bookmarkStart w:id="114" w:name="page115"/>
    <w:bookmarkEnd w:id="114"/>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“Unsecured Indebtedness” </w:t>
      </w:r>
      <w:r>
        <w:rPr>
          <w:rFonts w:ascii="Arial" w:cs="Arial" w:eastAsia="Arial" w:hAnsi="Arial"/>
          <w:sz w:val="22"/>
          <w:szCs w:val="22"/>
          <w:color w:val="auto"/>
        </w:rPr>
        <w:t>means, with respect to any Person, all Indebtedness of such Person that is not Secured</w:t>
      </w:r>
      <w:r>
        <w:rPr>
          <w:rFonts w:ascii="Arial" w:cs="Arial" w:eastAsia="Arial" w:hAnsi="Arial"/>
          <w:sz w:val="22"/>
          <w:szCs w:val="22"/>
          <w:b w:val="1"/>
          <w:bCs w:val="1"/>
          <w:color w:val="auto"/>
        </w:rPr>
        <w:t xml:space="preserve"> </w:t>
      </w:r>
      <w:r>
        <w:rPr>
          <w:rFonts w:ascii="Arial" w:cs="Arial" w:eastAsia="Arial" w:hAnsi="Arial"/>
          <w:sz w:val="22"/>
          <w:szCs w:val="22"/>
          <w:color w:val="auto"/>
        </w:rPr>
        <w:t>Indebtedness.</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“USA PATRIOT Act” </w:t>
      </w:r>
      <w:r>
        <w:rPr>
          <w:rFonts w:ascii="Arial" w:cs="Arial" w:eastAsia="Arial" w:hAnsi="Arial"/>
          <w:sz w:val="22"/>
          <w:szCs w:val="22"/>
          <w:color w:val="auto"/>
        </w:rPr>
        <w:t>means United States Public Law 107-56, Uniting and Strengthening America by Providing</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Tools Required to Intercept and Obstruct Terrorism (USA PATRIOT ACT) Act of 2001, as amended from time to time, and the rules and regulations promulgated thereunder from time to time in effect.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“U.S. Economic Sanctions” </w:t>
      </w:r>
      <w:r>
        <w:rPr>
          <w:rFonts w:ascii="Arial" w:cs="Arial" w:eastAsia="Arial" w:hAnsi="Arial"/>
          <w:sz w:val="22"/>
          <w:szCs w:val="22"/>
          <w:color w:val="auto"/>
        </w:rPr>
        <w:t>is defined in Section 5.16(a).</w:t>
      </w:r>
    </w:p>
    <w:p>
      <w:pPr>
        <w:spacing w:after="0" w:line="287"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“Wholly-Owned Subsidiary” </w:t>
      </w:r>
      <w:r>
        <w:rPr>
          <w:rFonts w:ascii="Arial" w:cs="Arial" w:eastAsia="Arial" w:hAnsi="Arial"/>
          <w:sz w:val="19"/>
          <w:szCs w:val="19"/>
          <w:color w:val="auto"/>
        </w:rPr>
        <w:t>shall mean, as to any Person, (a) any corporation 100% of whose Equity Interests (other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qualifying shares) is at the time owned by such Person and/or one or more Wholly Owned Subsidiaries of such person and (b) any partnership, association, joint venture, limited liability company or other entity in which such Person and/or one or more Wholly Owned Subsidiaries of such Person have a 100% equity interest at such time.</w:t>
      </w:r>
    </w:p>
    <w:p>
      <w:pPr>
        <w:spacing w:after="0" w:line="200" w:lineRule="exact"/>
        <w:rPr>
          <w:sz w:val="20"/>
          <w:szCs w:val="20"/>
          <w:color w:val="auto"/>
        </w:rPr>
      </w:pPr>
    </w:p>
    <w:p>
      <w:pPr>
        <w:spacing w:after="0" w:line="264" w:lineRule="exact"/>
        <w:rPr>
          <w:sz w:val="20"/>
          <w:szCs w:val="20"/>
          <w:color w:val="auto"/>
        </w:rPr>
      </w:pPr>
    </w:p>
    <w:p>
      <w:pPr>
        <w:ind w:left="764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32</w:t>
      </w:r>
      <w:r>
        <w:rPr>
          <w:rFonts w:ascii="MS PGothic" w:cs="MS PGothic" w:eastAsia="MS PGothic" w:hAnsi="MS PGothic"/>
          <w:sz w:val="22"/>
          <w:szCs w:val="22"/>
          <w:color w:val="auto"/>
        </w:rPr>
        <w:t>‑</w:t>
      </w:r>
    </w:p>
    <w:p>
      <w:pPr>
        <w:sectPr>
          <w:pgSz w:w="11900" w:h="16838" w:orient="portrait"/>
          <w:cols w:equalWidth="0" w:num="1">
            <w:col w:w="11420"/>
          </w:cols>
          <w:pgMar w:left="240" w:top="922"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22"/>
          <w:szCs w:val="22"/>
          <w:b w:val="1"/>
          <w:bCs w:val="1"/>
          <w:color w:val="auto"/>
        </w:rPr>
        <w:t>[FORM OF SERIES A NOTE]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AMERICAN ASSETS TRUST, L.P.</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4.04% SENIOR GUARANTEED NOTE DUE OCTOBER 31 , 2021</w:t>
      </w:r>
    </w:p>
    <w:p>
      <w:pPr>
        <w:sectPr>
          <w:pgSz w:w="11900" w:h="16838" w:orient="portrait"/>
          <w:cols w:equalWidth="0" w:num="1">
            <w:col w:w="11420"/>
          </w:cols>
          <w:pgMar w:left="240" w:top="6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[_____]</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9"/>
          <w:szCs w:val="19"/>
          <w:color w:val="auto"/>
        </w:rPr>
        <w:t>$[___________]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[Date]</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PPN[______________]</w:t>
      </w:r>
    </w:p>
    <w:p>
      <w:pPr>
        <w:spacing w:after="0" w:line="200" w:lineRule="exact"/>
        <w:rPr>
          <w:sz w:val="20"/>
          <w:szCs w:val="20"/>
          <w:color w:val="auto"/>
        </w:rPr>
      </w:pPr>
    </w:p>
    <w:p>
      <w:pPr>
        <w:sectPr>
          <w:pgSz w:w="11900" w:h="16838" w:orient="portrait"/>
          <w:cols w:equalWidth="0" w:num="2">
            <w:col w:w="8620" w:space="720"/>
            <w:col w:w="2080"/>
          </w:cols>
          <w:pgMar w:left="240" w:top="679" w:right="2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firstLine="648"/>
        <w:spacing w:after="0" w:line="329" w:lineRule="auto"/>
        <w:rPr>
          <w:sz w:val="20"/>
          <w:szCs w:val="20"/>
          <w:color w:val="auto"/>
        </w:rPr>
      </w:pPr>
      <w:r>
        <w:rPr>
          <w:rFonts w:ascii="Arial" w:cs="Arial" w:eastAsia="Arial" w:hAnsi="Arial"/>
          <w:sz w:val="19"/>
          <w:szCs w:val="19"/>
          <w:color w:val="auto"/>
        </w:rPr>
        <w:t xml:space="preserve">FOR VALUE RECEIVED, the undersigned, AMERICAN ASSETS TRUST, L.P. (herein called the </w:t>
      </w:r>
      <w:r>
        <w:rPr>
          <w:rFonts w:ascii="Arial" w:cs="Arial" w:eastAsia="Arial" w:hAnsi="Arial"/>
          <w:sz w:val="19"/>
          <w:szCs w:val="19"/>
          <w:b w:val="1"/>
          <w:bCs w:val="1"/>
          <w:color w:val="auto"/>
        </w:rPr>
        <w:t>“Company”</w:t>
      </w:r>
      <w:r>
        <w:rPr>
          <w:rFonts w:ascii="Arial" w:cs="Arial" w:eastAsia="Arial" w:hAnsi="Arial"/>
          <w:sz w:val="19"/>
          <w:szCs w:val="19"/>
          <w:color w:val="auto"/>
        </w:rPr>
        <w:t>), a limited partnership organized and existing under the laws of the State of Maryland, hereby promises to pay to [____________], 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registered assigns, the principal sum of [_____________________] DOLLARS (or so much thereof as shall not have been prepaid)</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on October 31, 2021 (the </w:t>
      </w:r>
      <w:r>
        <w:rPr>
          <w:rFonts w:ascii="Arial" w:cs="Arial" w:eastAsia="Arial" w:hAnsi="Arial"/>
          <w:sz w:val="19"/>
          <w:szCs w:val="19"/>
          <w:b w:val="1"/>
          <w:bCs w:val="1"/>
          <w:color w:val="auto"/>
        </w:rPr>
        <w:t>“Maturity Date”</w:t>
      </w:r>
      <w:r>
        <w:rPr>
          <w:rFonts w:ascii="Arial" w:cs="Arial" w:eastAsia="Arial" w:hAnsi="Arial"/>
          <w:sz w:val="19"/>
          <w:szCs w:val="19"/>
          <w:color w:val="auto"/>
        </w:rPr>
        <w:t>), with interest (computed on the basis of a 360-day year of twelve 30-day months)</w:t>
      </w:r>
    </w:p>
    <w:p>
      <w:pPr>
        <w:spacing w:after="0" w:line="85" w:lineRule="exact"/>
        <w:rPr>
          <w:sz w:val="20"/>
          <w:szCs w:val="20"/>
          <w:color w:val="auto"/>
        </w:rPr>
      </w:pPr>
    </w:p>
    <w:p>
      <w:pPr>
        <w:jc w:val="both"/>
        <w:ind w:firstLine="8"/>
        <w:spacing w:after="0" w:line="336" w:lineRule="auto"/>
        <w:tabs>
          <w:tab w:leader="none" w:pos="29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on the unpaid balance hereof at the rate of 4.04% per annum from the date hereof, payable quarterly, on the last day of January, April, July and October in each year, commencing with the last day of the January, April, July or October next succeeding the date hereof, and on the Maturity Date, until the principal hereof shall have become due and payable, and (b) to the extent permitted by law, (x) on any overdue payment of interest and (y) during the continuance of an Event of Default, on such unpaid balance and on any overdue payment of any Make-Whole Amount, at a rate per annum from time to time equal to the greater of (i) 6.04% or (ii) 2% over the rate of interest publicly announced by Bank of America, N.A. from time to time in New York, New York as its “base” or “prime” rate, payable quarterly as aforesaid (or, at the option of the registered holder hereof, on demand).</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Payments of principal of, interest on and any Make-Whole Amount with respect to this Note are to be made in lawful money of the United States of America at the principal office of Bank of America, N.A., in New York, New York or at such other place as the Company shall have designated by written notice to the holder of this Note as provided in the Note Purchase Agreement referred to below.</w:t>
      </w:r>
    </w:p>
    <w:p>
      <w:pPr>
        <w:spacing w:after="0" w:line="21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color w:val="auto"/>
        </w:rPr>
        <w:t xml:space="preserve">This Note is one of a series of Senior Guaranteed Notes (herein called the </w:t>
      </w:r>
      <w:r>
        <w:rPr>
          <w:rFonts w:ascii="Arial" w:cs="Arial" w:eastAsia="Arial" w:hAnsi="Arial"/>
          <w:sz w:val="21"/>
          <w:szCs w:val="21"/>
          <w:b w:val="1"/>
          <w:bCs w:val="1"/>
          <w:color w:val="auto"/>
        </w:rPr>
        <w:t>“Notes”</w:t>
      </w:r>
      <w:r>
        <w:rPr>
          <w:rFonts w:ascii="Arial" w:cs="Arial" w:eastAsia="Arial" w:hAnsi="Arial"/>
          <w:sz w:val="21"/>
          <w:szCs w:val="21"/>
          <w:color w:val="auto"/>
        </w:rPr>
        <w:t xml:space="preserve">) issued pursuant to the Note Purchase Agreement, dated as of October 31, 2014 (as from time to time amended, the </w:t>
      </w:r>
      <w:r>
        <w:rPr>
          <w:rFonts w:ascii="Arial" w:cs="Arial" w:eastAsia="Arial" w:hAnsi="Arial"/>
          <w:sz w:val="21"/>
          <w:szCs w:val="21"/>
          <w:b w:val="1"/>
          <w:bCs w:val="1"/>
          <w:color w:val="auto"/>
        </w:rPr>
        <w:t>“Note Purchase Agreement”</w:t>
      </w:r>
      <w:r>
        <w:rPr>
          <w:rFonts w:ascii="Arial" w:cs="Arial" w:eastAsia="Arial" w:hAnsi="Arial"/>
          <w:sz w:val="21"/>
          <w:szCs w:val="21"/>
          <w:color w:val="auto"/>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SCHEDULE 1(a)</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420"/>
          </w:cols>
          <w:pgMar w:left="240" w:top="679" w:right="239" w:bottom="1440" w:gutter="0" w:footer="0" w:header="0"/>
          <w:type w:val="continuous"/>
        </w:sectPr>
      </w:pPr>
    </w:p>
    <w:bookmarkStart w:id="116" w:name="page117"/>
    <w:bookmarkEnd w:id="116"/>
    <w:p>
      <w:pPr>
        <w:jc w:val="both"/>
        <w:spacing w:after="0" w:line="302" w:lineRule="auto"/>
        <w:rPr>
          <w:sz w:val="20"/>
          <w:szCs w:val="20"/>
          <w:color w:val="auto"/>
        </w:rPr>
      </w:pPr>
      <w:r>
        <w:rPr>
          <w:rFonts w:ascii="Arial" w:cs="Arial" w:eastAsia="Arial" w:hAnsi="Arial"/>
          <w:sz w:val="22"/>
          <w:szCs w:val="22"/>
          <w:color w:val="auto"/>
        </w:rPr>
        <w:t>Purchase Agreement. Unless otherwise indicated, capitalized terms used in this Note shall have the respective meanings ascribed to such terms in the Note Purchase Agreement.</w:t>
      </w:r>
    </w:p>
    <w:p>
      <w:pPr>
        <w:spacing w:after="0" w:line="20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22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This Note is subject to optional prepayment, in whole or from time to time in part, at the times and on the terms specified in the Note Purchase Agreement, but not otherwise.</w:t>
      </w:r>
    </w:p>
    <w:p>
      <w:pPr>
        <w:spacing w:after="0" w:line="20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payment and performance of this Note is unconditionally guaranteed by the Guarantors pursuant to the Affiliate Guaranty.</w:t>
      </w:r>
    </w:p>
    <w:p>
      <w:pPr>
        <w:spacing w:after="0" w:line="20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22"/>
          <w:szCs w:val="22"/>
          <w:color w:val="auto"/>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 of a jurisdiction other than such State.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AMERICAN ASSETS TRUST, L.P.</w:t>
      </w:r>
    </w:p>
    <w:p>
      <w:pPr>
        <w:spacing w:after="0" w:line="368"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22"/>
          <w:szCs w:val="22"/>
          <w:color w:val="auto"/>
        </w:rPr>
        <w:t>By:</w:t>
        <w:tab/>
        <w:t>American Assets Trust, Inc., its General Partner</w:t>
      </w:r>
    </w:p>
    <w:p>
      <w:pPr>
        <w:spacing w:after="0" w:line="36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24765</wp:posOffset>
            </wp:positionV>
            <wp:extent cx="3756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38" w:lineRule="exact"/>
        <w:rPr>
          <w:sz w:val="20"/>
          <w:szCs w:val="20"/>
          <w:color w:val="auto"/>
        </w:rPr>
      </w:pPr>
    </w:p>
    <w:tbl>
      <w:tblPr>
        <w:tblLayout w:type="fixed"/>
        <w:tblInd w:w="4960" w:type="dxa"/>
        <w:tblCellMar>
          <w:top w:w="0" w:type="dxa"/>
          <w:left w:w="0" w:type="dxa"/>
          <w:bottom w:w="0" w:type="dxa"/>
          <w:right w:w="0" w:type="dxa"/>
        </w:tblCellMar>
      </w:tblPr>
      <w:tr>
        <w:trPr>
          <w:trHeight w:val="275"/>
        </w:trPr>
        <w:tc>
          <w:tcPr>
            <w:tcW w:w="540" w:type="dxa"/>
            <w:vAlign w:val="bottom"/>
          </w:tcPr>
          <w:p>
            <w:pPr>
              <w:spacing w:after="0"/>
              <w:rPr>
                <w:sz w:val="23"/>
                <w:szCs w:val="23"/>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President and Chief Executive Officer</w:t>
            </w:r>
          </w:p>
        </w:tc>
      </w:tr>
      <w:tr>
        <w:trPr>
          <w:trHeight w:val="632"/>
        </w:trPr>
        <w:tc>
          <w:tcPr>
            <w:tcW w:w="1380" w:type="dxa"/>
            <w:vAlign w:val="bottom"/>
            <w:gridSpan w:val="2"/>
          </w:tcPr>
          <w:p>
            <w:pPr>
              <w:spacing w:after="0"/>
              <w:rPr>
                <w:sz w:val="20"/>
                <w:szCs w:val="20"/>
                <w:color w:val="auto"/>
              </w:rPr>
            </w:pPr>
            <w:r>
              <w:rPr>
                <w:rFonts w:ascii="Arial" w:cs="Arial" w:eastAsia="Arial" w:hAnsi="Arial"/>
                <w:sz w:val="22"/>
                <w:szCs w:val="22"/>
                <w:color w:val="auto"/>
              </w:rPr>
              <w:t>By:</w:t>
            </w:r>
          </w:p>
        </w:tc>
        <w:tc>
          <w:tcPr>
            <w:tcW w:w="5080" w:type="dxa"/>
            <w:vAlign w:val="bottom"/>
          </w:tcPr>
          <w:p>
            <w:pPr>
              <w:spacing w:after="0"/>
              <w:rPr>
                <w:sz w:val="24"/>
                <w:szCs w:val="24"/>
                <w:color w:val="auto"/>
              </w:rPr>
            </w:pPr>
          </w:p>
        </w:tc>
      </w:tr>
      <w:tr>
        <w:trPr>
          <w:trHeight w:val="280"/>
        </w:trPr>
        <w:tc>
          <w:tcPr>
            <w:tcW w:w="540" w:type="dxa"/>
            <w:vAlign w:val="bottom"/>
          </w:tcPr>
          <w:p>
            <w:pPr>
              <w:spacing w:after="0"/>
              <w:rPr>
                <w:sz w:val="24"/>
                <w:szCs w:val="24"/>
                <w:color w:val="auto"/>
              </w:rPr>
            </w:pP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Borders>
              <w:top w:val="single" w:sz="8" w:color="auto"/>
            </w:tcBorders>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 and</w:t>
            </w:r>
          </w:p>
        </w:tc>
      </w:tr>
      <w:tr>
        <w:trPr>
          <w:trHeight w:val="297"/>
        </w:trPr>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w:t>
            </w:r>
          </w:p>
        </w:tc>
      </w:tr>
      <w:tr>
        <w:trPr>
          <w:trHeight w:val="864"/>
        </w:trPr>
        <w:tc>
          <w:tcPr>
            <w:tcW w:w="540" w:type="dxa"/>
            <w:vAlign w:val="bottom"/>
          </w:tcPr>
          <w:p>
            <w:pPr>
              <w:spacing w:after="0"/>
              <w:rPr>
                <w:sz w:val="24"/>
                <w:szCs w:val="24"/>
                <w:color w:val="auto"/>
              </w:rPr>
            </w:pPr>
          </w:p>
        </w:tc>
        <w:tc>
          <w:tcPr>
            <w:tcW w:w="840" w:type="dxa"/>
            <w:vAlign w:val="bottom"/>
          </w:tcPr>
          <w:p>
            <w:pPr>
              <w:ind w:left="8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w:t>
            </w:r>
          </w:p>
        </w:tc>
        <w:tc>
          <w:tcPr>
            <w:tcW w:w="5080" w:type="dxa"/>
            <w:vAlign w:val="bottom"/>
          </w:tcPr>
          <w:p>
            <w:pPr>
              <w:spacing w:after="0"/>
              <w:rPr>
                <w:sz w:val="24"/>
                <w:szCs w:val="24"/>
                <w:color w:val="auto"/>
              </w:rPr>
            </w:pPr>
          </w:p>
        </w:tc>
      </w:tr>
    </w:tbl>
    <w:p>
      <w:pPr>
        <w:sectPr>
          <w:pgSz w:w="11900" w:h="16838" w:orient="portrait"/>
          <w:cols w:equalWidth="0" w:num="1">
            <w:col w:w="11420"/>
          </w:cols>
          <w:pgMar w:left="240" w:top="928" w:right="2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2"/>
          <w:szCs w:val="22"/>
          <w:b w:val="1"/>
          <w:bCs w:val="1"/>
          <w:color w:val="auto"/>
        </w:rPr>
        <w:t>[FORM OF SERIES B NOTE]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AMERICAN ASSETS TRUST, L.P.</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4.45% SENIOR GUARANTEED NOTE DUE FEBRUARY 2 , 2025</w:t>
      </w:r>
    </w:p>
    <w:p>
      <w:pPr>
        <w:sectPr>
          <w:pgSz w:w="11900" w:h="16838" w:orient="portrait"/>
          <w:cols w:equalWidth="0" w:num="1">
            <w:col w:w="11420"/>
          </w:cols>
          <w:pgMar w:left="240" w:top="6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[_____]</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9"/>
          <w:szCs w:val="19"/>
          <w:color w:val="auto"/>
        </w:rPr>
        <w:t>$[___________]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[Date]</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PPN[______________]</w:t>
      </w:r>
    </w:p>
    <w:p>
      <w:pPr>
        <w:spacing w:after="0" w:line="200" w:lineRule="exact"/>
        <w:rPr>
          <w:sz w:val="20"/>
          <w:szCs w:val="20"/>
          <w:color w:val="auto"/>
        </w:rPr>
      </w:pPr>
    </w:p>
    <w:p>
      <w:pPr>
        <w:sectPr>
          <w:pgSz w:w="11900" w:h="16838" w:orient="portrait"/>
          <w:cols w:equalWidth="0" w:num="2">
            <w:col w:w="8620" w:space="720"/>
            <w:col w:w="2080"/>
          </w:cols>
          <w:pgMar w:left="240" w:top="679" w:right="2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firstLine="648"/>
        <w:spacing w:after="0" w:line="329" w:lineRule="auto"/>
        <w:rPr>
          <w:sz w:val="20"/>
          <w:szCs w:val="20"/>
          <w:color w:val="auto"/>
        </w:rPr>
      </w:pPr>
      <w:r>
        <w:rPr>
          <w:rFonts w:ascii="Arial" w:cs="Arial" w:eastAsia="Arial" w:hAnsi="Arial"/>
          <w:sz w:val="19"/>
          <w:szCs w:val="19"/>
          <w:color w:val="auto"/>
        </w:rPr>
        <w:t xml:space="preserve">FOR VALUE RECEIVED, the undersigned, AMERICAN ASSETS TRUST, L.P. (herein called the </w:t>
      </w:r>
      <w:r>
        <w:rPr>
          <w:rFonts w:ascii="Arial" w:cs="Arial" w:eastAsia="Arial" w:hAnsi="Arial"/>
          <w:sz w:val="19"/>
          <w:szCs w:val="19"/>
          <w:b w:val="1"/>
          <w:bCs w:val="1"/>
          <w:color w:val="auto"/>
        </w:rPr>
        <w:t>“Company”</w:t>
      </w:r>
      <w:r>
        <w:rPr>
          <w:rFonts w:ascii="Arial" w:cs="Arial" w:eastAsia="Arial" w:hAnsi="Arial"/>
          <w:sz w:val="19"/>
          <w:szCs w:val="19"/>
          <w:color w:val="auto"/>
        </w:rPr>
        <w:t>), a limited partnership organized and existing under the laws of the State of Maryland, hereby promises to pay to [____________], 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registered assigns, the principal sum of [_____________________] DOLLARS (or so much thereof as shall not have been prepaid)</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on February 2, 2025 (the </w:t>
      </w:r>
      <w:r>
        <w:rPr>
          <w:rFonts w:ascii="Arial" w:cs="Arial" w:eastAsia="Arial" w:hAnsi="Arial"/>
          <w:sz w:val="19"/>
          <w:szCs w:val="19"/>
          <w:b w:val="1"/>
          <w:bCs w:val="1"/>
          <w:color w:val="auto"/>
        </w:rPr>
        <w:t>“Maturity Date”</w:t>
      </w:r>
      <w:r>
        <w:rPr>
          <w:rFonts w:ascii="Arial" w:cs="Arial" w:eastAsia="Arial" w:hAnsi="Arial"/>
          <w:sz w:val="19"/>
          <w:szCs w:val="19"/>
          <w:color w:val="auto"/>
        </w:rPr>
        <w:t>), with interest (computed on the basis of a 360-day year of twelve 30-day months)</w:t>
      </w:r>
    </w:p>
    <w:p>
      <w:pPr>
        <w:spacing w:after="0" w:line="85" w:lineRule="exact"/>
        <w:rPr>
          <w:sz w:val="20"/>
          <w:szCs w:val="20"/>
          <w:color w:val="auto"/>
        </w:rPr>
      </w:pPr>
    </w:p>
    <w:p>
      <w:pPr>
        <w:jc w:val="both"/>
        <w:ind w:firstLine="8"/>
        <w:spacing w:after="0" w:line="336" w:lineRule="auto"/>
        <w:tabs>
          <w:tab w:leader="none" w:pos="29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on the unpaid balance hereof at the rate of 4.45% per annum from the date hereof, payable quarterly, on the last day of January, April, July and October in each year, commencing with the last day of the January, April, July or October next succeeding the date hereof, and on the Maturity Date, until the principal hereof shall have become due and payable, and (b) to the extent permitted by law, (x) on any overdue payment of interest and (y) during the continuance of an Event of Default, on such unpaid balance and on any overdue payment of any Make-Whole Amount, at a rate per annum from time to time equal to the greater of (i) 6.45% or (ii) 2% over the rate of interest publicly announced by Bank of America, N.A. from time to time in New York, New York as its “base” or “prime” rate, payable quarterly as aforesaid (or, at the option of the registered holder hereof, on demand).</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Payments of principal of, interest on and any Make-Whole Amount with respect to this Note are to be made in lawful money of the United States of America at the principal office of Bank of America, N.A., in New York, New York or at such other place as the Company shall have designated by written notice to the holder of this Note as provided in the Note Purchase Agreement referred to below.</w:t>
      </w:r>
    </w:p>
    <w:p>
      <w:pPr>
        <w:spacing w:after="0" w:line="21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color w:val="auto"/>
        </w:rPr>
        <w:t xml:space="preserve">This Note is one of a series of Senior Guaranteed Notes (herein called the </w:t>
      </w:r>
      <w:r>
        <w:rPr>
          <w:rFonts w:ascii="Arial" w:cs="Arial" w:eastAsia="Arial" w:hAnsi="Arial"/>
          <w:sz w:val="21"/>
          <w:szCs w:val="21"/>
          <w:b w:val="1"/>
          <w:bCs w:val="1"/>
          <w:color w:val="auto"/>
        </w:rPr>
        <w:t>“Notes”</w:t>
      </w:r>
      <w:r>
        <w:rPr>
          <w:rFonts w:ascii="Arial" w:cs="Arial" w:eastAsia="Arial" w:hAnsi="Arial"/>
          <w:sz w:val="21"/>
          <w:szCs w:val="21"/>
          <w:color w:val="auto"/>
        </w:rPr>
        <w:t xml:space="preserve">) issued pursuant to the Note Purchase Agreement, dated as of October 31, 2014 (as from time to time amended, the </w:t>
      </w:r>
      <w:r>
        <w:rPr>
          <w:rFonts w:ascii="Arial" w:cs="Arial" w:eastAsia="Arial" w:hAnsi="Arial"/>
          <w:sz w:val="21"/>
          <w:szCs w:val="21"/>
          <w:b w:val="1"/>
          <w:bCs w:val="1"/>
          <w:color w:val="auto"/>
        </w:rPr>
        <w:t>“Note Purchase Agreement”</w:t>
      </w:r>
      <w:r>
        <w:rPr>
          <w:rFonts w:ascii="Arial" w:cs="Arial" w:eastAsia="Arial" w:hAnsi="Arial"/>
          <w:sz w:val="21"/>
          <w:szCs w:val="21"/>
          <w:color w:val="auto"/>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SCHEDULE 1(b)</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420"/>
          </w:cols>
          <w:pgMar w:left="240" w:top="679" w:right="239" w:bottom="1440" w:gutter="0" w:footer="0" w:header="0"/>
          <w:type w:val="continuous"/>
        </w:sectPr>
      </w:pPr>
    </w:p>
    <w:bookmarkStart w:id="118" w:name="page119"/>
    <w:bookmarkEnd w:id="118"/>
    <w:p>
      <w:pPr>
        <w:jc w:val="both"/>
        <w:spacing w:after="0" w:line="302" w:lineRule="auto"/>
        <w:rPr>
          <w:sz w:val="20"/>
          <w:szCs w:val="20"/>
          <w:color w:val="auto"/>
        </w:rPr>
      </w:pPr>
      <w:r>
        <w:rPr>
          <w:rFonts w:ascii="Arial" w:cs="Arial" w:eastAsia="Arial" w:hAnsi="Arial"/>
          <w:sz w:val="22"/>
          <w:szCs w:val="22"/>
          <w:color w:val="auto"/>
        </w:rPr>
        <w:t>Purchase Agreement. Unless otherwise indicated, capitalized terms used in this Note shall have the respective meanings ascribed to such terms in the Note Purchase Agreement.</w:t>
      </w:r>
    </w:p>
    <w:p>
      <w:pPr>
        <w:spacing w:after="0" w:line="20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22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This Note is subject to optional prepayment, in whole or from time to time in part, at the times and on the terms specified in the Note Purchase Agreement, but not otherwise.</w:t>
      </w:r>
    </w:p>
    <w:p>
      <w:pPr>
        <w:spacing w:after="0" w:line="20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payment and performance of this Note is unconditionally guaranteed by the Guarantors pursuant to the Affiliate Guaranty.</w:t>
      </w:r>
    </w:p>
    <w:p>
      <w:pPr>
        <w:spacing w:after="0" w:line="20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22"/>
          <w:szCs w:val="22"/>
          <w:color w:val="auto"/>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 of a jurisdiction other than such State.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AMERICAN ASSETS TRUST, L.P.</w:t>
      </w:r>
    </w:p>
    <w:p>
      <w:pPr>
        <w:spacing w:after="0" w:line="368"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22"/>
          <w:szCs w:val="22"/>
          <w:color w:val="auto"/>
        </w:rPr>
        <w:t>By:</w:t>
        <w:tab/>
        <w:t>American Assets Trust, Inc., its General Partner</w:t>
      </w:r>
    </w:p>
    <w:p>
      <w:pPr>
        <w:spacing w:after="0" w:line="36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24765</wp:posOffset>
            </wp:positionV>
            <wp:extent cx="37560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38" w:lineRule="exact"/>
        <w:rPr>
          <w:sz w:val="20"/>
          <w:szCs w:val="20"/>
          <w:color w:val="auto"/>
        </w:rPr>
      </w:pPr>
    </w:p>
    <w:tbl>
      <w:tblPr>
        <w:tblLayout w:type="fixed"/>
        <w:tblInd w:w="4960" w:type="dxa"/>
        <w:tblCellMar>
          <w:top w:w="0" w:type="dxa"/>
          <w:left w:w="0" w:type="dxa"/>
          <w:bottom w:w="0" w:type="dxa"/>
          <w:right w:w="0" w:type="dxa"/>
        </w:tblCellMar>
      </w:tblPr>
      <w:tr>
        <w:trPr>
          <w:trHeight w:val="275"/>
        </w:trPr>
        <w:tc>
          <w:tcPr>
            <w:tcW w:w="540" w:type="dxa"/>
            <w:vAlign w:val="bottom"/>
          </w:tcPr>
          <w:p>
            <w:pPr>
              <w:spacing w:after="0"/>
              <w:rPr>
                <w:sz w:val="23"/>
                <w:szCs w:val="23"/>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President and Chief Executive Officer</w:t>
            </w:r>
          </w:p>
        </w:tc>
      </w:tr>
      <w:tr>
        <w:trPr>
          <w:trHeight w:val="632"/>
        </w:trPr>
        <w:tc>
          <w:tcPr>
            <w:tcW w:w="1380" w:type="dxa"/>
            <w:vAlign w:val="bottom"/>
            <w:gridSpan w:val="2"/>
          </w:tcPr>
          <w:p>
            <w:pPr>
              <w:spacing w:after="0"/>
              <w:rPr>
                <w:sz w:val="20"/>
                <w:szCs w:val="20"/>
                <w:color w:val="auto"/>
              </w:rPr>
            </w:pPr>
            <w:r>
              <w:rPr>
                <w:rFonts w:ascii="Arial" w:cs="Arial" w:eastAsia="Arial" w:hAnsi="Arial"/>
                <w:sz w:val="22"/>
                <w:szCs w:val="22"/>
                <w:color w:val="auto"/>
              </w:rPr>
              <w:t>By:</w:t>
            </w:r>
          </w:p>
        </w:tc>
        <w:tc>
          <w:tcPr>
            <w:tcW w:w="5080" w:type="dxa"/>
            <w:vAlign w:val="bottom"/>
          </w:tcPr>
          <w:p>
            <w:pPr>
              <w:spacing w:after="0"/>
              <w:rPr>
                <w:sz w:val="24"/>
                <w:szCs w:val="24"/>
                <w:color w:val="auto"/>
              </w:rPr>
            </w:pPr>
          </w:p>
        </w:tc>
      </w:tr>
      <w:tr>
        <w:trPr>
          <w:trHeight w:val="280"/>
        </w:trPr>
        <w:tc>
          <w:tcPr>
            <w:tcW w:w="540" w:type="dxa"/>
            <w:vAlign w:val="bottom"/>
          </w:tcPr>
          <w:p>
            <w:pPr>
              <w:spacing w:after="0"/>
              <w:rPr>
                <w:sz w:val="24"/>
                <w:szCs w:val="24"/>
                <w:color w:val="auto"/>
              </w:rPr>
            </w:pP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Borders>
              <w:top w:val="single" w:sz="8" w:color="auto"/>
            </w:tcBorders>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 and</w:t>
            </w:r>
          </w:p>
        </w:tc>
      </w:tr>
      <w:tr>
        <w:trPr>
          <w:trHeight w:val="297"/>
        </w:trPr>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w:t>
            </w:r>
          </w:p>
        </w:tc>
      </w:tr>
      <w:tr>
        <w:trPr>
          <w:trHeight w:val="864"/>
        </w:trPr>
        <w:tc>
          <w:tcPr>
            <w:tcW w:w="540" w:type="dxa"/>
            <w:vAlign w:val="bottom"/>
          </w:tcPr>
          <w:p>
            <w:pPr>
              <w:spacing w:after="0"/>
              <w:rPr>
                <w:sz w:val="24"/>
                <w:szCs w:val="24"/>
                <w:color w:val="auto"/>
              </w:rPr>
            </w:pPr>
          </w:p>
        </w:tc>
        <w:tc>
          <w:tcPr>
            <w:tcW w:w="840" w:type="dxa"/>
            <w:vAlign w:val="bottom"/>
          </w:tcPr>
          <w:p>
            <w:pPr>
              <w:ind w:left="8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w:t>
            </w:r>
          </w:p>
        </w:tc>
        <w:tc>
          <w:tcPr>
            <w:tcW w:w="5080" w:type="dxa"/>
            <w:vAlign w:val="bottom"/>
          </w:tcPr>
          <w:p>
            <w:pPr>
              <w:spacing w:after="0"/>
              <w:rPr>
                <w:sz w:val="24"/>
                <w:szCs w:val="24"/>
                <w:color w:val="auto"/>
              </w:rPr>
            </w:pPr>
          </w:p>
        </w:tc>
      </w:tr>
    </w:tbl>
    <w:p>
      <w:pPr>
        <w:sectPr>
          <w:pgSz w:w="11900" w:h="16838" w:orient="portrait"/>
          <w:cols w:equalWidth="0" w:num="1">
            <w:col w:w="11420"/>
          </w:cols>
          <w:pgMar w:left="240" w:top="928"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b w:val="1"/>
          <w:bCs w:val="1"/>
          <w:color w:val="auto"/>
        </w:rPr>
        <w:t>[FORM OF SERIES C NOTE]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ASSETS TRUST, L.P.</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4.50% SENIOR GUARANTEED NOTE DUE APRIL 1, 2025</w:t>
      </w:r>
    </w:p>
    <w:p>
      <w:pPr>
        <w:sectPr>
          <w:pgSz w:w="11900" w:h="16838" w:orient="portrait"/>
          <w:cols w:equalWidth="0" w:num="1">
            <w:col w:w="11420"/>
          </w:cols>
          <w:pgMar w:left="240" w:top="6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[_____]</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9"/>
          <w:szCs w:val="19"/>
          <w:color w:val="auto"/>
        </w:rPr>
        <w:t>$[___________]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[Date]</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PPN[______________]</w:t>
      </w:r>
    </w:p>
    <w:p>
      <w:pPr>
        <w:spacing w:after="0" w:line="200" w:lineRule="exact"/>
        <w:rPr>
          <w:sz w:val="20"/>
          <w:szCs w:val="20"/>
          <w:color w:val="auto"/>
        </w:rPr>
      </w:pPr>
    </w:p>
    <w:p>
      <w:pPr>
        <w:sectPr>
          <w:pgSz w:w="11900" w:h="16838" w:orient="portrait"/>
          <w:cols w:equalWidth="0" w:num="2">
            <w:col w:w="8620" w:space="720"/>
            <w:col w:w="2080"/>
          </w:cols>
          <w:pgMar w:left="240" w:top="679" w:right="2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9"/>
          <w:szCs w:val="19"/>
          <w:color w:val="auto"/>
        </w:rPr>
        <w:t xml:space="preserve">FOR VALUE RECEIVED, the undersigned, AMERICAN ASSETS TRUST, L.P. (herein called the </w:t>
      </w:r>
      <w:r>
        <w:rPr>
          <w:rFonts w:ascii="Arial" w:cs="Arial" w:eastAsia="Arial" w:hAnsi="Arial"/>
          <w:sz w:val="19"/>
          <w:szCs w:val="19"/>
          <w:b w:val="1"/>
          <w:bCs w:val="1"/>
          <w:color w:val="auto"/>
        </w:rPr>
        <w:t>“Company”</w:t>
      </w:r>
      <w:r>
        <w:rPr>
          <w:rFonts w:ascii="Arial" w:cs="Arial" w:eastAsia="Arial" w:hAnsi="Arial"/>
          <w:sz w:val="19"/>
          <w:szCs w:val="19"/>
          <w:color w:val="auto"/>
        </w:rPr>
        <w:t>), a limited partnership organized and existing under the laws of the State of Maryland, hereby promises to pay to [____________], 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registered assigns, the principal sum of [_____________________] DOLLARS (or so much thereof as shall not have been prepaid)</w:t>
      </w:r>
    </w:p>
    <w:p>
      <w:pPr>
        <w:spacing w:after="0" w:line="73" w:lineRule="exact"/>
        <w:rPr>
          <w:sz w:val="20"/>
          <w:szCs w:val="20"/>
          <w:color w:val="auto"/>
        </w:rPr>
      </w:pPr>
    </w:p>
    <w:p>
      <w:pPr>
        <w:jc w:val="both"/>
        <w:spacing w:after="0" w:line="295" w:lineRule="exact"/>
        <w:rPr>
          <w:sz w:val="20"/>
          <w:szCs w:val="20"/>
          <w:color w:val="auto"/>
        </w:rPr>
      </w:pPr>
      <w:r>
        <w:rPr>
          <w:rFonts w:ascii="Arial" w:cs="Arial" w:eastAsia="Arial" w:hAnsi="Arial"/>
          <w:sz w:val="19"/>
          <w:szCs w:val="19"/>
          <w:color w:val="auto"/>
        </w:rPr>
        <w:t xml:space="preserve">on April 1, 2025 (the </w:t>
      </w:r>
      <w:r>
        <w:rPr>
          <w:rFonts w:ascii="Arial" w:cs="Arial" w:eastAsia="Arial" w:hAnsi="Arial"/>
          <w:sz w:val="19"/>
          <w:szCs w:val="19"/>
          <w:b w:val="1"/>
          <w:bCs w:val="1"/>
          <w:color w:val="auto"/>
        </w:rPr>
        <w:t>“Maturity Date”</w:t>
      </w:r>
      <w:r>
        <w:rPr>
          <w:rFonts w:ascii="Arial" w:cs="Arial" w:eastAsia="Arial" w:hAnsi="Arial"/>
          <w:sz w:val="19"/>
          <w:szCs w:val="19"/>
          <w:color w:val="auto"/>
        </w:rPr>
        <w:t>), with interest (computed on the basis of a 360</w:t>
      </w:r>
      <w:r>
        <w:rPr>
          <w:rFonts w:ascii="MS PGothic" w:cs="MS PGothic" w:eastAsia="MS PGothic" w:hAnsi="MS PGothic"/>
          <w:sz w:val="19"/>
          <w:szCs w:val="19"/>
          <w:color w:val="auto"/>
        </w:rPr>
        <w:t>‑</w:t>
      </w:r>
      <w:r>
        <w:rPr>
          <w:rFonts w:ascii="Arial" w:cs="Arial" w:eastAsia="Arial" w:hAnsi="Arial"/>
          <w:sz w:val="19"/>
          <w:szCs w:val="19"/>
          <w:color w:val="auto"/>
        </w:rPr>
        <w:t>day year of twelve 30</w:t>
      </w:r>
      <w:r>
        <w:rPr>
          <w:rFonts w:ascii="MS PGothic" w:cs="MS PGothic" w:eastAsia="MS PGothic" w:hAnsi="MS PGothic"/>
          <w:sz w:val="19"/>
          <w:szCs w:val="19"/>
          <w:color w:val="auto"/>
        </w:rPr>
        <w:t>‑</w:t>
      </w:r>
      <w:r>
        <w:rPr>
          <w:rFonts w:ascii="Arial" w:cs="Arial" w:eastAsia="Arial" w:hAnsi="Arial"/>
          <w:sz w:val="19"/>
          <w:szCs w:val="19"/>
          <w:color w:val="auto"/>
        </w:rPr>
        <w:t>day months) (a) on the unpaid balance hereof at the rate of 4.50% per annum from the date hereof, payable quarterly, on the last day of January, April, July and October in each year, commencing with the last day of the January, April, July or October next succeeding the date hereof, and on the Maturity Date, until the principal hereof shall have become due and payable, and (b) to the extent permitted by law, (x) on any overdue payment of interest and (y) during the continuance of an Event of Default, on such unpaid balance and on any overdue payment of any Make</w:t>
      </w:r>
      <w:r>
        <w:rPr>
          <w:rFonts w:ascii="MS PGothic" w:cs="MS PGothic" w:eastAsia="MS PGothic" w:hAnsi="MS PGothic"/>
          <w:sz w:val="19"/>
          <w:szCs w:val="19"/>
          <w:color w:val="auto"/>
        </w:rPr>
        <w:t>‑</w:t>
      </w:r>
      <w:r>
        <w:rPr>
          <w:rFonts w:ascii="Arial" w:cs="Arial" w:eastAsia="Arial" w:hAnsi="Arial"/>
          <w:sz w:val="19"/>
          <w:szCs w:val="19"/>
          <w:color w:val="auto"/>
        </w:rPr>
        <w:t>Whole Amount, at a rate per annum from time to time equal to the greater of (i) 6.50% or (ii) 2% over the rate of interest publicly announced by Bank of America, N.A. from time to time in New York, New York as its “base” or “prime” rate, payable quarterly as aforesaid (or, at the option of the registered holder hereof, on demand).</w:t>
      </w:r>
    </w:p>
    <w:p>
      <w:pPr>
        <w:spacing w:after="0" w:line="266" w:lineRule="exact"/>
        <w:rPr>
          <w:sz w:val="20"/>
          <w:szCs w:val="20"/>
          <w:color w:val="auto"/>
        </w:rPr>
      </w:pPr>
    </w:p>
    <w:p>
      <w:pPr>
        <w:jc w:val="both"/>
        <w:ind w:firstLine="648"/>
        <w:spacing w:after="0" w:line="291" w:lineRule="exact"/>
        <w:rPr>
          <w:sz w:val="20"/>
          <w:szCs w:val="20"/>
          <w:color w:val="auto"/>
        </w:rPr>
      </w:pPr>
      <w:r>
        <w:rPr>
          <w:rFonts w:ascii="Arial" w:cs="Arial" w:eastAsia="Arial" w:hAnsi="Arial"/>
          <w:sz w:val="22"/>
          <w:szCs w:val="22"/>
          <w:color w:val="auto"/>
        </w:rPr>
        <w:t>Payments of principal of, interest on and any Make</w:t>
      </w:r>
      <w:r>
        <w:rPr>
          <w:rFonts w:ascii="MS PGothic" w:cs="MS PGothic" w:eastAsia="MS PGothic" w:hAnsi="MS PGothic"/>
          <w:sz w:val="22"/>
          <w:szCs w:val="22"/>
          <w:color w:val="auto"/>
        </w:rPr>
        <w:t>‑</w:t>
      </w:r>
      <w:r>
        <w:rPr>
          <w:rFonts w:ascii="Arial" w:cs="Arial" w:eastAsia="Arial" w:hAnsi="Arial"/>
          <w:sz w:val="22"/>
          <w:szCs w:val="22"/>
          <w:color w:val="auto"/>
        </w:rPr>
        <w:t>Whole Amount with respect to this Note are to be made in lawful money of the United States of America at the principal office of Bank of America, N.A., in New York, New York or at such other place as the Company shall have designated by written notice to the holder of this Note as provided in the Note Purchase Agreement referred to below.</w:t>
      </w:r>
    </w:p>
    <w:p>
      <w:pPr>
        <w:spacing w:after="0" w:line="26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color w:val="auto"/>
        </w:rPr>
        <w:t xml:space="preserve">This Note is one of a series of Senior Guaranteed Notes (herein called the </w:t>
      </w:r>
      <w:r>
        <w:rPr>
          <w:rFonts w:ascii="Arial" w:cs="Arial" w:eastAsia="Arial" w:hAnsi="Arial"/>
          <w:sz w:val="21"/>
          <w:szCs w:val="21"/>
          <w:b w:val="1"/>
          <w:bCs w:val="1"/>
          <w:color w:val="auto"/>
        </w:rPr>
        <w:t>“Notes”</w:t>
      </w:r>
      <w:r>
        <w:rPr>
          <w:rFonts w:ascii="Arial" w:cs="Arial" w:eastAsia="Arial" w:hAnsi="Arial"/>
          <w:sz w:val="21"/>
          <w:szCs w:val="21"/>
          <w:color w:val="auto"/>
        </w:rPr>
        <w:t xml:space="preserve">) issued pursuant to the Note Purchase Agreement, dated as of October 31, 2014 (as from time to time amended, the </w:t>
      </w:r>
      <w:r>
        <w:rPr>
          <w:rFonts w:ascii="Arial" w:cs="Arial" w:eastAsia="Arial" w:hAnsi="Arial"/>
          <w:sz w:val="21"/>
          <w:szCs w:val="21"/>
          <w:b w:val="1"/>
          <w:bCs w:val="1"/>
          <w:color w:val="auto"/>
        </w:rPr>
        <w:t>“Note Purchase Agreement”</w:t>
      </w:r>
      <w:r>
        <w:rPr>
          <w:rFonts w:ascii="Arial" w:cs="Arial" w:eastAsia="Arial" w:hAnsi="Arial"/>
          <w:sz w:val="21"/>
          <w:szCs w:val="21"/>
          <w:color w:val="auto"/>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SCHEDULE 1(c)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420"/>
          </w:cols>
          <w:pgMar w:left="240" w:top="679" w:right="239" w:bottom="1440" w:gutter="0" w:footer="0" w:header="0"/>
          <w:type w:val="continuous"/>
        </w:sectPr>
      </w:pPr>
    </w:p>
    <w:bookmarkStart w:id="120" w:name="page121"/>
    <w:bookmarkEnd w:id="120"/>
    <w:p>
      <w:pPr>
        <w:jc w:val="both"/>
        <w:spacing w:after="0" w:line="302" w:lineRule="auto"/>
        <w:rPr>
          <w:sz w:val="20"/>
          <w:szCs w:val="20"/>
          <w:color w:val="auto"/>
        </w:rPr>
      </w:pPr>
      <w:r>
        <w:rPr>
          <w:rFonts w:ascii="Arial" w:cs="Arial" w:eastAsia="Arial" w:hAnsi="Arial"/>
          <w:sz w:val="22"/>
          <w:szCs w:val="22"/>
          <w:color w:val="auto"/>
        </w:rPr>
        <w:t>Purchase Agreement. Unless otherwise indicated, capitalized terms used in this Note shall have the respective meanings ascribed to such terms in the Note Purchase Agreement.</w:t>
      </w:r>
    </w:p>
    <w:p>
      <w:pPr>
        <w:spacing w:after="0" w:line="20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22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This Note is subject to optional prepayment, in whole or from time to time in part, at the times and on the terms specified in the Note Purchase Agreement, but not otherwise.</w:t>
      </w:r>
    </w:p>
    <w:p>
      <w:pPr>
        <w:spacing w:after="0" w:line="201" w:lineRule="exact"/>
        <w:rPr>
          <w:sz w:val="20"/>
          <w:szCs w:val="20"/>
          <w:color w:val="auto"/>
        </w:rPr>
      </w:pPr>
    </w:p>
    <w:p>
      <w:pPr>
        <w:jc w:val="both"/>
        <w:ind w:firstLine="648"/>
        <w:spacing w:after="0" w:line="289" w:lineRule="exact"/>
        <w:rPr>
          <w:sz w:val="20"/>
          <w:szCs w:val="20"/>
          <w:color w:val="auto"/>
        </w:rPr>
      </w:pPr>
      <w:r>
        <w:rPr>
          <w:rFonts w:ascii="Arial" w:cs="Arial" w:eastAsia="Arial" w:hAnsi="Arial"/>
          <w:sz w:val="22"/>
          <w:szCs w:val="22"/>
          <w:color w:val="auto"/>
        </w:rPr>
        <w:t>If an Event of Default occurs and is continuing, the principal of this Note may be declared or otherwise become due and payable in the manner, at the price (including any applicable Make</w:t>
      </w:r>
      <w:r>
        <w:rPr>
          <w:rFonts w:ascii="MS PGothic" w:cs="MS PGothic" w:eastAsia="MS PGothic" w:hAnsi="MS PGothic"/>
          <w:sz w:val="22"/>
          <w:szCs w:val="22"/>
          <w:color w:val="auto"/>
        </w:rPr>
        <w:t>‑</w:t>
      </w:r>
      <w:r>
        <w:rPr>
          <w:rFonts w:ascii="Arial" w:cs="Arial" w:eastAsia="Arial" w:hAnsi="Arial"/>
          <w:sz w:val="22"/>
          <w:szCs w:val="22"/>
          <w:color w:val="auto"/>
        </w:rPr>
        <w:t>Whole Amount) and with the effect provided in the Note Purchase Agreement.</w:t>
      </w:r>
    </w:p>
    <w:p>
      <w:pPr>
        <w:spacing w:after="0" w:line="26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payment and performance of this Note is unconditionally guaranteed by the Guarantors pursuant to the Affiliate Guaranty.</w:t>
      </w:r>
    </w:p>
    <w:p>
      <w:pPr>
        <w:spacing w:after="0" w:line="201" w:lineRule="exact"/>
        <w:rPr>
          <w:sz w:val="20"/>
          <w:szCs w:val="20"/>
          <w:color w:val="auto"/>
        </w:rPr>
      </w:pPr>
    </w:p>
    <w:p>
      <w:pPr>
        <w:jc w:val="both"/>
        <w:ind w:right="20" w:firstLine="648"/>
        <w:spacing w:after="0" w:line="289" w:lineRule="exact"/>
        <w:rPr>
          <w:sz w:val="20"/>
          <w:szCs w:val="20"/>
          <w:color w:val="auto"/>
        </w:rPr>
      </w:pPr>
      <w:r>
        <w:rPr>
          <w:rFonts w:ascii="Arial" w:cs="Arial" w:eastAsia="Arial" w:hAnsi="Arial"/>
          <w:sz w:val="22"/>
          <w:szCs w:val="22"/>
          <w:color w:val="auto"/>
        </w:rPr>
        <w:t>This Note shall be construed and enforced in accordance with, and the rights of the Company and the holder of this Note shall be governed by, the law of the State of New York excluding choice</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law principles of the law of such State that would permit the application of the law of a jurisdiction other than such State.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AMERICAN ASSETS TRUST, L.P.</w:t>
      </w:r>
    </w:p>
    <w:p>
      <w:pPr>
        <w:spacing w:after="0" w:line="368"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22"/>
          <w:szCs w:val="22"/>
          <w:color w:val="auto"/>
        </w:rPr>
        <w:t>By:</w:t>
        <w:tab/>
        <w:t>American Assets Trust, Inc., its General Partner</w:t>
      </w:r>
    </w:p>
    <w:p>
      <w:pPr>
        <w:spacing w:after="0" w:line="36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24765</wp:posOffset>
            </wp:positionV>
            <wp:extent cx="3756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38" w:lineRule="exact"/>
        <w:rPr>
          <w:sz w:val="20"/>
          <w:szCs w:val="20"/>
          <w:color w:val="auto"/>
        </w:rPr>
      </w:pPr>
    </w:p>
    <w:tbl>
      <w:tblPr>
        <w:tblLayout w:type="fixed"/>
        <w:tblInd w:w="4960" w:type="dxa"/>
        <w:tblCellMar>
          <w:top w:w="0" w:type="dxa"/>
          <w:left w:w="0" w:type="dxa"/>
          <w:bottom w:w="0" w:type="dxa"/>
          <w:right w:w="0" w:type="dxa"/>
        </w:tblCellMar>
      </w:tblPr>
      <w:tr>
        <w:trPr>
          <w:trHeight w:val="275"/>
        </w:trPr>
        <w:tc>
          <w:tcPr>
            <w:tcW w:w="540" w:type="dxa"/>
            <w:vAlign w:val="bottom"/>
          </w:tcPr>
          <w:p>
            <w:pPr>
              <w:spacing w:after="0"/>
              <w:rPr>
                <w:sz w:val="23"/>
                <w:szCs w:val="23"/>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President and Chief Executive Officer</w:t>
            </w:r>
          </w:p>
        </w:tc>
      </w:tr>
      <w:tr>
        <w:trPr>
          <w:trHeight w:val="632"/>
        </w:trPr>
        <w:tc>
          <w:tcPr>
            <w:tcW w:w="1380" w:type="dxa"/>
            <w:vAlign w:val="bottom"/>
            <w:gridSpan w:val="2"/>
          </w:tcPr>
          <w:p>
            <w:pPr>
              <w:spacing w:after="0"/>
              <w:rPr>
                <w:sz w:val="20"/>
                <w:szCs w:val="20"/>
                <w:color w:val="auto"/>
              </w:rPr>
            </w:pPr>
            <w:r>
              <w:rPr>
                <w:rFonts w:ascii="Arial" w:cs="Arial" w:eastAsia="Arial" w:hAnsi="Arial"/>
                <w:sz w:val="22"/>
                <w:szCs w:val="22"/>
                <w:color w:val="auto"/>
              </w:rPr>
              <w:t>By:</w:t>
            </w:r>
          </w:p>
        </w:tc>
        <w:tc>
          <w:tcPr>
            <w:tcW w:w="5080" w:type="dxa"/>
            <w:vAlign w:val="bottom"/>
          </w:tcPr>
          <w:p>
            <w:pPr>
              <w:spacing w:after="0"/>
              <w:rPr>
                <w:sz w:val="24"/>
                <w:szCs w:val="24"/>
                <w:color w:val="auto"/>
              </w:rPr>
            </w:pPr>
          </w:p>
        </w:tc>
      </w:tr>
      <w:tr>
        <w:trPr>
          <w:trHeight w:val="280"/>
        </w:trPr>
        <w:tc>
          <w:tcPr>
            <w:tcW w:w="540" w:type="dxa"/>
            <w:vAlign w:val="bottom"/>
          </w:tcPr>
          <w:p>
            <w:pPr>
              <w:spacing w:after="0"/>
              <w:rPr>
                <w:sz w:val="24"/>
                <w:szCs w:val="24"/>
                <w:color w:val="auto"/>
              </w:rPr>
            </w:pP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Borders>
              <w:top w:val="single" w:sz="8" w:color="auto"/>
            </w:tcBorders>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5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 and</w:t>
            </w:r>
          </w:p>
        </w:tc>
      </w:tr>
      <w:tr>
        <w:trPr>
          <w:trHeight w:val="297"/>
        </w:trPr>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w:t>
            </w:r>
          </w:p>
        </w:tc>
      </w:tr>
      <w:tr>
        <w:trPr>
          <w:trHeight w:val="864"/>
        </w:trPr>
        <w:tc>
          <w:tcPr>
            <w:tcW w:w="540" w:type="dxa"/>
            <w:vAlign w:val="bottom"/>
          </w:tcPr>
          <w:p>
            <w:pPr>
              <w:spacing w:after="0"/>
              <w:rPr>
                <w:sz w:val="24"/>
                <w:szCs w:val="24"/>
                <w:color w:val="auto"/>
              </w:rPr>
            </w:pPr>
          </w:p>
        </w:tc>
        <w:tc>
          <w:tcPr>
            <w:tcW w:w="840" w:type="dxa"/>
            <w:vAlign w:val="bottom"/>
          </w:tcPr>
          <w:p>
            <w:pPr>
              <w:ind w:left="8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w:t>
            </w:r>
          </w:p>
        </w:tc>
        <w:tc>
          <w:tcPr>
            <w:tcW w:w="5080" w:type="dxa"/>
            <w:vAlign w:val="bottom"/>
          </w:tcPr>
          <w:p>
            <w:pPr>
              <w:spacing w:after="0"/>
              <w:rPr>
                <w:sz w:val="24"/>
                <w:szCs w:val="24"/>
                <w:color w:val="auto"/>
              </w:rPr>
            </w:pPr>
          </w:p>
        </w:tc>
      </w:tr>
    </w:tbl>
    <w:p>
      <w:pPr>
        <w:sectPr>
          <w:pgSz w:w="11900" w:h="16838" w:orient="portrait"/>
          <w:cols w:equalWidth="0" w:num="1">
            <w:col w:w="11420"/>
          </w:cols>
          <w:pgMar w:left="240" w:top="928" w:right="239" w:bottom="1440" w:gutter="0" w:footer="0" w:header="0"/>
        </w:sectPr>
      </w:pPr>
    </w:p>
    <w:bookmarkStart w:id="121" w:name="page122"/>
    <w:bookmarkEnd w:id="121"/>
    <w:p>
      <w:pPr>
        <w:jc w:val="center"/>
        <w:ind w:right="60"/>
        <w:spacing w:after="0"/>
        <w:rPr>
          <w:sz w:val="20"/>
          <w:szCs w:val="20"/>
          <w:color w:val="auto"/>
        </w:rPr>
      </w:pPr>
      <w:r>
        <w:rPr>
          <w:rFonts w:ascii="Arial" w:cs="Arial" w:eastAsia="Arial" w:hAnsi="Arial"/>
          <w:sz w:val="22"/>
          <w:szCs w:val="22"/>
          <w:b w:val="1"/>
          <w:bCs w:val="1"/>
          <w:color w:val="auto"/>
        </w:rPr>
        <w:t>FORM OF OPINIONS OF SPECIAL COUNSEL</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NOTE PARTIES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4.4(a)(w)</w:t>
      </w:r>
    </w:p>
    <w:p>
      <w:pPr>
        <w:spacing w:after="0" w:line="36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Matters To Be Covered in</w:t>
      </w:r>
    </w:p>
    <w:p>
      <w:pPr>
        <w:spacing w:after="0" w:line="4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Opinion of Latham &amp; Watkins LLP</w:t>
      </w:r>
    </w:p>
    <w:p>
      <w:pPr>
        <w:spacing w:after="0" w:line="293" w:lineRule="exact"/>
        <w:rPr>
          <w:sz w:val="20"/>
          <w:szCs w:val="20"/>
          <w:color w:val="auto"/>
        </w:rPr>
      </w:pPr>
    </w:p>
    <w:p>
      <w:pPr>
        <w:ind w:firstLine="832"/>
        <w:spacing w:after="0" w:line="302" w:lineRule="auto"/>
        <w:tabs>
          <w:tab w:leader="none" w:pos="129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Each of the Note Documents constitutes a legally valid and binding obligation of each Note Party that is a party thereto, enforceable against such Note Party in accordance with its terms.</w:t>
      </w:r>
    </w:p>
    <w:p>
      <w:pPr>
        <w:spacing w:after="0" w:line="200" w:lineRule="exact"/>
        <w:rPr>
          <w:rFonts w:ascii="Arial" w:cs="Arial" w:eastAsia="Arial" w:hAnsi="Arial"/>
          <w:sz w:val="22"/>
          <w:szCs w:val="22"/>
          <w:color w:val="auto"/>
        </w:rPr>
      </w:pPr>
    </w:p>
    <w:p>
      <w:pPr>
        <w:ind w:right="20" w:firstLine="832"/>
        <w:spacing w:after="0" w:line="328" w:lineRule="auto"/>
        <w:tabs>
          <w:tab w:leader="none" w:pos="1247"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execution and delivery of the Note Documents by the Note Parties party thereto, the issuance of the notes, and granting of guarantees pursuant to the Note Documents by the relevant Note Party, do not on the date hereof:</w:t>
      </w:r>
    </w:p>
    <w:p>
      <w:pPr>
        <w:spacing w:after="0" w:line="177" w:lineRule="exact"/>
        <w:rPr>
          <w:rFonts w:ascii="Arial" w:cs="Arial" w:eastAsia="Arial" w:hAnsi="Arial"/>
          <w:sz w:val="21"/>
          <w:szCs w:val="21"/>
          <w:color w:val="auto"/>
        </w:rPr>
      </w:pPr>
    </w:p>
    <w:p>
      <w:pPr>
        <w:ind w:left="1300" w:right="280" w:firstLine="653"/>
        <w:spacing w:after="0" w:line="312" w:lineRule="auto"/>
        <w:tabs>
          <w:tab w:leader="none" w:pos="220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violate any federal or New York statute, rule, or regulation applicable to any Note Party (including, without limitation, Regulations T, U or X of the Board of Governors of the Federal Reserve System, assuming the Company complies with the provisions of the Note Documents relating to the use of proceeds); or</w:t>
      </w:r>
    </w:p>
    <w:p>
      <w:pPr>
        <w:spacing w:after="0" w:line="133" w:lineRule="exact"/>
        <w:rPr>
          <w:rFonts w:ascii="Arial" w:cs="Arial" w:eastAsia="Arial" w:hAnsi="Arial"/>
          <w:sz w:val="19"/>
          <w:szCs w:val="19"/>
          <w:color w:val="auto"/>
        </w:rPr>
      </w:pPr>
    </w:p>
    <w:p>
      <w:pPr>
        <w:ind w:left="1300" w:right="180" w:firstLine="653"/>
        <w:spacing w:after="0" w:line="250" w:lineRule="auto"/>
        <w:tabs>
          <w:tab w:leader="none" w:pos="226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require any consents, approvals, or authorizations to be obtained by any Note Party from, or any registrations, declarations or filings to be made by any Note Party with, any governmental authority under any federal or New York statute, rule or regulation applicable to any Note Party, on or prior to the date hereof that have not been obtained or made.</w:t>
      </w: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ind w:right="20" w:firstLine="832"/>
        <w:spacing w:after="0" w:line="302" w:lineRule="auto"/>
        <w:tabs>
          <w:tab w:leader="none" w:pos="134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 Note Party is required to be registered as an “investment company” within the meaning of the Investment Company Act of 1940, as amended.</w:t>
      </w:r>
    </w:p>
    <w:p>
      <w:pPr>
        <w:spacing w:after="0" w:line="200" w:lineRule="exact"/>
        <w:rPr>
          <w:rFonts w:ascii="Arial" w:cs="Arial" w:eastAsia="Arial" w:hAnsi="Arial"/>
          <w:sz w:val="22"/>
          <w:szCs w:val="22"/>
          <w:color w:val="auto"/>
        </w:rPr>
      </w:pPr>
    </w:p>
    <w:p>
      <w:pPr>
        <w:ind w:firstLine="832"/>
        <w:spacing w:after="0" w:line="302" w:lineRule="auto"/>
        <w:tabs>
          <w:tab w:leader="none" w:pos="119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Notes and the Affiliate Guaranty not requiring registration under the Securities Act of 1933, as amended; no need to qualify an indenture under the Trust Indenture Act of 1939,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SCHEDULE 4.4(a)</w:t>
      </w:r>
    </w:p>
    <w:p>
      <w:pPr>
        <w:spacing w:after="0" w:line="4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420"/>
          </w:cols>
          <w:pgMar w:left="240" w:top="679"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Schedule 4.4(a)(x)</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540"/>
        <w:spacing w:after="0"/>
        <w:rPr>
          <w:sz w:val="20"/>
          <w:szCs w:val="20"/>
          <w:color w:val="auto"/>
        </w:rPr>
      </w:pPr>
      <w:r>
        <w:rPr>
          <w:rFonts w:ascii="Arial" w:cs="Arial" w:eastAsia="Arial" w:hAnsi="Arial"/>
          <w:sz w:val="22"/>
          <w:szCs w:val="22"/>
          <w:b w:val="1"/>
          <w:bCs w:val="1"/>
          <w:color w:val="auto"/>
        </w:rPr>
        <w:t>Matters To Be Covered in</w:t>
      </w:r>
    </w:p>
    <w:p>
      <w:pPr>
        <w:spacing w:after="0" w:line="44" w:lineRule="exact"/>
        <w:rPr>
          <w:sz w:val="20"/>
          <w:szCs w:val="20"/>
          <w:color w:val="auto"/>
        </w:rPr>
      </w:pPr>
    </w:p>
    <w:p>
      <w:pPr>
        <w:jc w:val="right"/>
        <w:ind w:right="4580"/>
        <w:spacing w:after="0"/>
        <w:rPr>
          <w:sz w:val="20"/>
          <w:szCs w:val="20"/>
          <w:color w:val="auto"/>
        </w:rPr>
      </w:pPr>
      <w:r>
        <w:rPr>
          <w:rFonts w:ascii="Arial" w:cs="Arial" w:eastAsia="Arial" w:hAnsi="Arial"/>
          <w:sz w:val="22"/>
          <w:szCs w:val="22"/>
          <w:b w:val="1"/>
          <w:bCs w:val="1"/>
          <w:color w:val="auto"/>
        </w:rPr>
        <w:t>Opinion of Venable LLP</w:t>
      </w:r>
    </w:p>
    <w:p>
      <w:pPr>
        <w:spacing w:after="0" w:line="293" w:lineRule="exact"/>
        <w:rPr>
          <w:sz w:val="20"/>
          <w:szCs w:val="20"/>
          <w:color w:val="auto"/>
        </w:rPr>
      </w:pPr>
    </w:p>
    <w:p>
      <w:pPr>
        <w:ind w:firstLine="832"/>
        <w:spacing w:after="0" w:line="302" w:lineRule="auto"/>
        <w:tabs>
          <w:tab w:leader="none" w:pos="129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REIT is a corporation duly incorporated and validly existing under and by virtue of the laws of the State of Maryland and is in good standing with the SDAT.</w:t>
      </w:r>
    </w:p>
    <w:p>
      <w:pPr>
        <w:spacing w:after="0" w:line="200" w:lineRule="exact"/>
        <w:rPr>
          <w:rFonts w:ascii="Arial" w:cs="Arial" w:eastAsia="Arial" w:hAnsi="Arial"/>
          <w:sz w:val="22"/>
          <w:szCs w:val="22"/>
          <w:color w:val="auto"/>
        </w:rPr>
      </w:pPr>
    </w:p>
    <w:p>
      <w:pPr>
        <w:ind w:right="20" w:firstLine="832"/>
        <w:spacing w:after="0" w:line="302" w:lineRule="auto"/>
        <w:tabs>
          <w:tab w:leader="none" w:pos="127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Company has been duly formed and is validly existing as a limited partnership under the laws of the State of Maryland and is in good standing with the SDAT:</w:t>
      </w:r>
    </w:p>
    <w:p>
      <w:pPr>
        <w:spacing w:after="0" w:line="200" w:lineRule="exact"/>
        <w:rPr>
          <w:rFonts w:ascii="Arial" w:cs="Arial" w:eastAsia="Arial" w:hAnsi="Arial"/>
          <w:sz w:val="22"/>
          <w:szCs w:val="22"/>
          <w:color w:val="auto"/>
        </w:rPr>
      </w:pPr>
    </w:p>
    <w:p>
      <w:pPr>
        <w:ind w:firstLine="832"/>
        <w:spacing w:after="0" w:line="302" w:lineRule="auto"/>
        <w:tabs>
          <w:tab w:leader="none" w:pos="125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REIT has the corporate power, and the Company has the limited partnership power, to execute and deliver the Note Documents to which it is a party and to perform its obligations thereunder.</w:t>
      </w:r>
    </w:p>
    <w:p>
      <w:pPr>
        <w:spacing w:after="0" w:line="200" w:lineRule="exact"/>
        <w:rPr>
          <w:rFonts w:ascii="Arial" w:cs="Arial" w:eastAsia="Arial" w:hAnsi="Arial"/>
          <w:sz w:val="22"/>
          <w:szCs w:val="22"/>
          <w:color w:val="auto"/>
        </w:rPr>
      </w:pPr>
    </w:p>
    <w:p>
      <w:pPr>
        <w:jc w:val="both"/>
        <w:ind w:firstLine="832"/>
        <w:spacing w:after="0" w:line="357" w:lineRule="auto"/>
        <w:tabs>
          <w:tab w:leader="none" w:pos="122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execution and delivery by each of the REIT and the Company of the Note Documents to which it is a party, and the performance by each of the REIT and the Company of its respective obligations thereunder, have been duly authorized by all necessary corporate action and all necessary limited partnership action on the part of the REIT and the Company, respectively.</w:t>
      </w:r>
    </w:p>
    <w:p>
      <w:pPr>
        <w:spacing w:after="0" w:line="159" w:lineRule="exact"/>
        <w:rPr>
          <w:rFonts w:ascii="Arial" w:cs="Arial" w:eastAsia="Arial" w:hAnsi="Arial"/>
          <w:sz w:val="19"/>
          <w:szCs w:val="19"/>
          <w:color w:val="auto"/>
        </w:rPr>
      </w:pPr>
    </w:p>
    <w:p>
      <w:pPr>
        <w:ind w:firstLine="832"/>
        <w:spacing w:after="0" w:line="302" w:lineRule="auto"/>
        <w:tabs>
          <w:tab w:leader="none" w:pos="123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Each of the REIT and the Company has duly executed and, to the extent Maryland law is applicable, delivered each of the Note Documents to which it is a party.</w:t>
      </w:r>
    </w:p>
    <w:p>
      <w:pPr>
        <w:spacing w:after="0" w:line="200" w:lineRule="exact"/>
        <w:rPr>
          <w:rFonts w:ascii="Arial" w:cs="Arial" w:eastAsia="Arial" w:hAnsi="Arial"/>
          <w:sz w:val="22"/>
          <w:szCs w:val="22"/>
          <w:color w:val="auto"/>
        </w:rPr>
      </w:pPr>
    </w:p>
    <w:p>
      <w:pPr>
        <w:jc w:val="both"/>
        <w:ind w:firstLine="832"/>
        <w:spacing w:after="0" w:line="288" w:lineRule="auto"/>
        <w:tabs>
          <w:tab w:leader="none" w:pos="124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execution and delivery by each of the REIT and the Company of the Note Documents to which it is a party do not, and the performance by each of the REIT and the Company of its respective obligations thereunder will not, (a) conflict with the Charter, the Bylaws, the Certificate or the Operating Partnership Agreement or (b) violate any Maryland law, rule or regulation applicable to the REIT or the Company.</w:t>
      </w:r>
    </w:p>
    <w:p>
      <w:pPr>
        <w:spacing w:after="0" w:line="217" w:lineRule="exact"/>
        <w:rPr>
          <w:rFonts w:ascii="Arial" w:cs="Arial" w:eastAsia="Arial" w:hAnsi="Arial"/>
          <w:sz w:val="22"/>
          <w:szCs w:val="22"/>
          <w:color w:val="auto"/>
        </w:rPr>
      </w:pPr>
    </w:p>
    <w:p>
      <w:pPr>
        <w:jc w:val="both"/>
        <w:ind w:firstLine="832"/>
        <w:spacing w:after="0" w:line="288" w:lineRule="auto"/>
        <w:tabs>
          <w:tab w:leader="none" w:pos="139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No approval, authorization, consent or order of, or filing with, any Maryland governmental authority having jurisdiction over the REIT or the Company is required in connection with the execution and delivery by each of the REIT and Company of the Note Documents to which it is a party or the performance by each of the REIT and the Company of its respective obligations thereunder, other than those which have been obtained or waived.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SCHEDULE 4.4(a)</w:t>
      </w:r>
    </w:p>
    <w:p>
      <w:pPr>
        <w:spacing w:after="0" w:line="4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420"/>
          </w:cols>
          <w:pgMar w:left="240" w:top="1003"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color w:val="auto"/>
        </w:rPr>
        <w:t>Schedule 4.4(a)(y)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Matters To Be Covered in</w:t>
      </w:r>
    </w:p>
    <w:p>
      <w:pPr>
        <w:spacing w:after="0" w:line="44"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Opinion of Wesley Y. S. Chang, Esq.</w:t>
      </w:r>
    </w:p>
    <w:p>
      <w:pPr>
        <w:spacing w:after="0" w:line="293" w:lineRule="exact"/>
        <w:rPr>
          <w:sz w:val="20"/>
          <w:szCs w:val="20"/>
          <w:color w:val="auto"/>
        </w:rPr>
      </w:pPr>
    </w:p>
    <w:p>
      <w:pPr>
        <w:jc w:val="both"/>
        <w:ind w:left="-20" w:firstLine="656"/>
        <w:spacing w:after="0" w:line="292" w:lineRule="auto"/>
        <w:tabs>
          <w:tab w:leader="none" w:pos="109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Each of the Hawaii Guarantors is a limited liability company duly organized, validly existing and in good standing under the laws of the State with the power and authority to execute and deliver the Affiliate Guaranty and perform its obligations thereunder.</w:t>
      </w:r>
    </w:p>
    <w:p>
      <w:pPr>
        <w:spacing w:after="0" w:line="211" w:lineRule="exact"/>
        <w:rPr>
          <w:rFonts w:ascii="Arial" w:cs="Arial" w:eastAsia="Arial" w:hAnsi="Arial"/>
          <w:sz w:val="22"/>
          <w:szCs w:val="22"/>
          <w:color w:val="auto"/>
        </w:rPr>
      </w:pPr>
    </w:p>
    <w:p>
      <w:pPr>
        <w:ind w:left="-20" w:firstLine="656"/>
        <w:spacing w:after="0" w:line="302" w:lineRule="auto"/>
        <w:tabs>
          <w:tab w:leader="none" w:pos="102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execution, delivery and performance of the Affiliate Guaranty has been duly authorized by all necessary actions of each of the Hawaii Guarantors.</w:t>
      </w:r>
    </w:p>
    <w:p>
      <w:pPr>
        <w:spacing w:after="0" w:line="200" w:lineRule="exact"/>
        <w:rPr>
          <w:rFonts w:ascii="Arial" w:cs="Arial" w:eastAsia="Arial" w:hAnsi="Arial"/>
          <w:sz w:val="22"/>
          <w:szCs w:val="22"/>
          <w:color w:val="auto"/>
        </w:rPr>
      </w:pPr>
    </w:p>
    <w:p>
      <w:pPr>
        <w:ind w:left="1020" w:hanging="384"/>
        <w:spacing w:after="0"/>
        <w:tabs>
          <w:tab w:leader="none" w:pos="10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Each Hawaii Guarantor has duly executed and delivered the Affiliate Guaranty.</w:t>
      </w:r>
    </w:p>
    <w:p>
      <w:pPr>
        <w:spacing w:after="0" w:line="287" w:lineRule="exact"/>
        <w:rPr>
          <w:rFonts w:ascii="Arial" w:cs="Arial" w:eastAsia="Arial" w:hAnsi="Arial"/>
          <w:sz w:val="22"/>
          <w:szCs w:val="22"/>
          <w:color w:val="auto"/>
        </w:rPr>
      </w:pPr>
    </w:p>
    <w:p>
      <w:pPr>
        <w:ind w:left="-20" w:firstLine="656"/>
        <w:spacing w:after="0" w:line="302" w:lineRule="auto"/>
        <w:tabs>
          <w:tab w:leader="none" w:pos="107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execution and delivery of the Affiliate Guaranty by each Hawaii Guarantor and the performance by each of the Hawaii Guarantors of its obligations under the Affiliate Guaranty does not:</w:t>
      </w:r>
    </w:p>
    <w:p>
      <w:pPr>
        <w:spacing w:after="0" w:line="241" w:lineRule="exact"/>
        <w:rPr>
          <w:rFonts w:ascii="Arial" w:cs="Arial" w:eastAsia="Arial" w:hAnsi="Arial"/>
          <w:sz w:val="22"/>
          <w:szCs w:val="22"/>
          <w:color w:val="auto"/>
        </w:rPr>
      </w:pPr>
    </w:p>
    <w:p>
      <w:pPr>
        <w:ind w:left="1280" w:right="900" w:firstLine="653"/>
        <w:spacing w:after="0" w:line="263" w:lineRule="auto"/>
        <w:tabs>
          <w:tab w:leader="none" w:pos="2186" w:val="left"/>
        </w:tabs>
        <w:numPr>
          <w:ilvl w:val="1"/>
          <w:numId w:val="105"/>
        </w:numPr>
        <w:rPr>
          <w:rFonts w:ascii="Arial" w:cs="Arial" w:eastAsia="Arial" w:hAnsi="Arial"/>
          <w:sz w:val="22"/>
          <w:szCs w:val="22"/>
          <w:color w:val="auto"/>
        </w:rPr>
      </w:pPr>
      <w:r>
        <w:rPr>
          <w:rFonts w:ascii="Arial" w:cs="Arial" w:eastAsia="Arial" w:hAnsi="Arial"/>
          <w:sz w:val="22"/>
          <w:szCs w:val="22"/>
          <w:color w:val="auto"/>
        </w:rPr>
        <w:t>violate such Hawaii Guarantor's certificate of formation and limited liability company operating agreement;</w:t>
      </w:r>
    </w:p>
    <w:p>
      <w:pPr>
        <w:spacing w:after="0" w:line="174" w:lineRule="exact"/>
        <w:rPr>
          <w:rFonts w:ascii="Arial" w:cs="Arial" w:eastAsia="Arial" w:hAnsi="Arial"/>
          <w:sz w:val="22"/>
          <w:szCs w:val="22"/>
          <w:color w:val="auto"/>
        </w:rPr>
      </w:pPr>
    </w:p>
    <w:p>
      <w:pPr>
        <w:ind w:left="2260" w:hanging="327"/>
        <w:spacing w:after="0"/>
        <w:tabs>
          <w:tab w:leader="none" w:pos="226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violate any Hawaii statute, law, rule or regulation applicable to such Affiliate Guaranty or any Hawaii</w:t>
      </w:r>
    </w:p>
    <w:p>
      <w:pPr>
        <w:spacing w:after="0" w:line="56" w:lineRule="exact"/>
        <w:rPr>
          <w:rFonts w:ascii="Arial" w:cs="Arial" w:eastAsia="Arial" w:hAnsi="Arial"/>
          <w:sz w:val="19"/>
          <w:szCs w:val="19"/>
          <w:color w:val="auto"/>
        </w:rPr>
      </w:pPr>
    </w:p>
    <w:p>
      <w:pPr>
        <w:ind w:left="1280"/>
        <w:spacing w:after="0"/>
        <w:rPr>
          <w:rFonts w:ascii="Arial" w:cs="Arial" w:eastAsia="Arial" w:hAnsi="Arial"/>
          <w:sz w:val="19"/>
          <w:szCs w:val="19"/>
          <w:color w:val="auto"/>
        </w:rPr>
      </w:pPr>
      <w:r>
        <w:rPr>
          <w:rFonts w:ascii="Arial" w:cs="Arial" w:eastAsia="Arial" w:hAnsi="Arial"/>
          <w:sz w:val="22"/>
          <w:szCs w:val="22"/>
          <w:color w:val="auto"/>
        </w:rPr>
        <w:t>Guarantor;</w:t>
      </w:r>
    </w:p>
    <w:p>
      <w:pPr>
        <w:spacing w:after="0" w:line="201" w:lineRule="exact"/>
        <w:rPr>
          <w:rFonts w:ascii="Arial" w:cs="Arial" w:eastAsia="Arial" w:hAnsi="Arial"/>
          <w:sz w:val="19"/>
          <w:szCs w:val="19"/>
          <w:color w:val="auto"/>
        </w:rPr>
      </w:pPr>
    </w:p>
    <w:p>
      <w:pPr>
        <w:ind w:left="1280" w:right="540" w:firstLine="653"/>
        <w:spacing w:after="0" w:line="343" w:lineRule="auto"/>
        <w:tabs>
          <w:tab w:leader="none" w:pos="230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require any consents, approvals, or authorizations, or any registrations, declarations or filings to be made, under any law or regulation of the State of Hawaii that have not been obtained or made; or</w:t>
      </w:r>
    </w:p>
    <w:p>
      <w:pPr>
        <w:spacing w:after="0" w:line="104" w:lineRule="exact"/>
        <w:rPr>
          <w:rFonts w:ascii="Arial" w:cs="Arial" w:eastAsia="Arial" w:hAnsi="Arial"/>
          <w:sz w:val="19"/>
          <w:szCs w:val="19"/>
          <w:color w:val="auto"/>
        </w:rPr>
      </w:pPr>
    </w:p>
    <w:p>
      <w:pPr>
        <w:ind w:left="1280" w:right="400" w:firstLine="653"/>
        <w:spacing w:after="0" w:line="263" w:lineRule="auto"/>
        <w:tabs>
          <w:tab w:leader="none" w:pos="2294" w:val="left"/>
        </w:tabs>
        <w:numPr>
          <w:ilvl w:val="1"/>
          <w:numId w:val="105"/>
        </w:numPr>
        <w:rPr>
          <w:rFonts w:ascii="Arial" w:cs="Arial" w:eastAsia="Arial" w:hAnsi="Arial"/>
          <w:sz w:val="22"/>
          <w:szCs w:val="22"/>
          <w:color w:val="auto"/>
        </w:rPr>
      </w:pPr>
      <w:r>
        <w:rPr>
          <w:rFonts w:ascii="Arial" w:cs="Arial" w:eastAsia="Arial" w:hAnsi="Arial"/>
          <w:sz w:val="22"/>
          <w:szCs w:val="22"/>
          <w:color w:val="auto"/>
        </w:rPr>
        <w:t>subject the Hawaii Guarantors to a fine, penalty or other similar sanctions under any statutory law or regulation of the State of Hawaii.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SCHEDULE 4.4(a)</w:t>
      </w:r>
    </w:p>
    <w:p>
      <w:pPr>
        <w:spacing w:after="0" w:line="4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400"/>
          </w:cols>
          <w:pgMar w:left="260" w:top="1003"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Schedule 4.4(a)(z)</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Matters To Be Covered in</w:t>
      </w:r>
    </w:p>
    <w:p>
      <w:pPr>
        <w:spacing w:after="0" w:line="44"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Opinion of Adam Wyll, Esq.</w:t>
      </w:r>
    </w:p>
    <w:p>
      <w:pPr>
        <w:spacing w:after="0" w:line="293" w:lineRule="exact"/>
        <w:rPr>
          <w:sz w:val="20"/>
          <w:szCs w:val="20"/>
          <w:color w:val="auto"/>
        </w:rPr>
      </w:pPr>
    </w:p>
    <w:p>
      <w:pPr>
        <w:jc w:val="both"/>
        <w:ind w:firstLine="832"/>
        <w:spacing w:after="0" w:line="287" w:lineRule="auto"/>
        <w:tabs>
          <w:tab w:leader="none" w:pos="133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Each California Subsidiary Note Party is a limited liability company or limited partnership, as applicable, duly organized, validly existing, and in good standing under the laws of the State of California and has all requisite limited liability company or limited partnership power, as applicable, and all governmental licenses, authorizations, consents and approvals necessary to execute, deliver, and perform such California Subsidiary Note Party’s obligations under the Note Documents to which it is a party.</w:t>
      </w:r>
    </w:p>
    <w:p>
      <w:pPr>
        <w:spacing w:after="0" w:line="216" w:lineRule="exact"/>
        <w:rPr>
          <w:rFonts w:ascii="Arial" w:cs="Arial" w:eastAsia="Arial" w:hAnsi="Arial"/>
          <w:sz w:val="22"/>
          <w:szCs w:val="22"/>
          <w:color w:val="auto"/>
        </w:rPr>
      </w:pPr>
    </w:p>
    <w:p>
      <w:pPr>
        <w:jc w:val="both"/>
        <w:ind w:firstLine="832"/>
        <w:spacing w:after="0" w:line="288" w:lineRule="auto"/>
        <w:tabs>
          <w:tab w:leader="none" w:pos="149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Each Delaware Subsidiary Note Party is a limited liability company duly organized, validly existing, and in good standing under the laws of the State of Delaware and has all requisite limited liability company power and all governmental licenses, authorizations, consents and approvals necessary to execute, deliver, and perform such Delaware Subsidiary Note Party’s obligations under the Note Documents to which it is a party.</w:t>
      </w:r>
    </w:p>
    <w:p>
      <w:pPr>
        <w:spacing w:after="0" w:line="217" w:lineRule="exact"/>
        <w:rPr>
          <w:rFonts w:ascii="Arial" w:cs="Arial" w:eastAsia="Arial" w:hAnsi="Arial"/>
          <w:sz w:val="22"/>
          <w:szCs w:val="22"/>
          <w:color w:val="auto"/>
        </w:rPr>
      </w:pPr>
    </w:p>
    <w:p>
      <w:pPr>
        <w:jc w:val="both"/>
        <w:ind w:firstLine="832"/>
        <w:spacing w:after="0" w:line="306" w:lineRule="auto"/>
        <w:tabs>
          <w:tab w:leader="none" w:pos="1215"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execution and delivery of the Note Documents by each Opinion Subsidiary Note Party that is a party thereto and the performance of each Opinion Subsidiary Note Party’s obligations under the Note Documents to which it is a party has been duly authorized by all requisite actions of such Opinion Subsidiary Note Party and the Note Documents have each been duly authorized, executed and delivered by each Opinion Subsidiary Note Party that is a party thereto.</w:t>
      </w:r>
    </w:p>
    <w:p>
      <w:pPr>
        <w:spacing w:after="0" w:line="200" w:lineRule="exact"/>
        <w:rPr>
          <w:rFonts w:ascii="Arial" w:cs="Arial" w:eastAsia="Arial" w:hAnsi="Arial"/>
          <w:sz w:val="21"/>
          <w:szCs w:val="21"/>
          <w:color w:val="auto"/>
        </w:rPr>
      </w:pPr>
    </w:p>
    <w:p>
      <w:pPr>
        <w:jc w:val="both"/>
        <w:ind w:firstLine="832"/>
        <w:spacing w:after="0" w:line="292" w:lineRule="auto"/>
        <w:tabs>
          <w:tab w:leader="none" w:pos="137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Note Documents do not, and the issuance of the notes, and granting of guarantees pursuant to the Note Documents by the relevant Opinion Subsidiary Note Party will not, conflict with or violate or result in a breach of any of the provisions of, any of the California Governing Documents or the Delaware Governing Documents.</w:t>
      </w:r>
    </w:p>
    <w:p>
      <w:pPr>
        <w:spacing w:after="0" w:line="211" w:lineRule="exact"/>
        <w:rPr>
          <w:rFonts w:ascii="Arial" w:cs="Arial" w:eastAsia="Arial" w:hAnsi="Arial"/>
          <w:sz w:val="22"/>
          <w:szCs w:val="22"/>
          <w:color w:val="auto"/>
        </w:rPr>
      </w:pPr>
    </w:p>
    <w:p>
      <w:pPr>
        <w:jc w:val="both"/>
        <w:ind w:firstLine="832"/>
        <w:spacing w:after="0" w:line="292" w:lineRule="auto"/>
        <w:tabs>
          <w:tab w:leader="none" w:pos="120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execution and delivery of the Note Documents by the Opinion Subsidiary Note Parties party thereto, the issuance of the notes, and granting of guarantees pursuant to the Note Documents by the relevant Opinion Subsidiary Note Party, do not on the date hereof:</w:t>
      </w:r>
    </w:p>
    <w:p>
      <w:pPr>
        <w:spacing w:after="0" w:line="211" w:lineRule="exact"/>
        <w:rPr>
          <w:rFonts w:ascii="Arial" w:cs="Arial" w:eastAsia="Arial" w:hAnsi="Arial"/>
          <w:sz w:val="22"/>
          <w:szCs w:val="22"/>
          <w:color w:val="auto"/>
        </w:rPr>
      </w:pPr>
    </w:p>
    <w:p>
      <w:pPr>
        <w:ind w:left="2220" w:hanging="267"/>
        <w:spacing w:after="0"/>
        <w:tabs>
          <w:tab w:leader="none" w:pos="222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violate the DLLCA, the CLLCA or the CULPA; or</w:t>
      </w:r>
    </w:p>
    <w:p>
      <w:pPr>
        <w:spacing w:after="0" w:line="200" w:lineRule="exact"/>
        <w:rPr>
          <w:sz w:val="20"/>
          <w:szCs w:val="20"/>
          <w:color w:val="auto"/>
        </w:rPr>
      </w:pPr>
    </w:p>
    <w:p>
      <w:pPr>
        <w:spacing w:after="0" w:line="276"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SCHEDULE 4.4(a)</w:t>
      </w:r>
    </w:p>
    <w:p>
      <w:pPr>
        <w:spacing w:after="0" w:line="4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420"/>
          </w:cols>
          <w:pgMar w:left="240" w:top="1003" w:right="239" w:bottom="1440" w:gutter="0" w:footer="0" w:header="0"/>
        </w:sectPr>
      </w:pPr>
    </w:p>
    <w:bookmarkStart w:id="125" w:name="page126"/>
    <w:bookmarkEnd w:id="125"/>
    <w:p>
      <w:pPr>
        <w:ind w:left="1300" w:right="220" w:firstLine="653"/>
        <w:spacing w:after="0" w:line="302" w:lineRule="auto"/>
        <w:tabs>
          <w:tab w:leader="none" w:pos="2266" w:val="left"/>
        </w:tabs>
        <w:numPr>
          <w:ilvl w:val="1"/>
          <w:numId w:val="107"/>
        </w:numPr>
        <w:rPr>
          <w:rFonts w:ascii="Arial" w:cs="Arial" w:eastAsia="Arial" w:hAnsi="Arial"/>
          <w:sz w:val="19"/>
          <w:szCs w:val="19"/>
          <w:color w:val="auto"/>
        </w:rPr>
      </w:pPr>
      <w:r>
        <w:rPr>
          <w:rFonts w:ascii="Arial" w:cs="Arial" w:eastAsia="Arial" w:hAnsi="Arial"/>
          <w:sz w:val="19"/>
          <w:szCs w:val="19"/>
          <w:color w:val="auto"/>
        </w:rPr>
        <w:t>require any consents, approvals, or authorizations to be obtained by any Opinion Subsidiary Note Party from, or any registrations, declarations or filings to be made by any Opinion Subsidiary Note Party with, any governmental authority under the DLLCA, the CLLCA or the CULPA except filings and recordings required in order to perfect or otherwise protect the security interests under the Note Documents.</w:t>
      </w:r>
    </w:p>
    <w:p>
      <w:pPr>
        <w:spacing w:after="0" w:line="399" w:lineRule="exact"/>
        <w:rPr>
          <w:rFonts w:ascii="Arial" w:cs="Arial" w:eastAsia="Arial" w:hAnsi="Arial"/>
          <w:sz w:val="19"/>
          <w:szCs w:val="19"/>
          <w:color w:val="auto"/>
        </w:rPr>
      </w:pPr>
    </w:p>
    <w:p>
      <w:pPr>
        <w:jc w:val="both"/>
        <w:ind w:firstLine="832"/>
        <w:spacing w:after="0" w:line="288" w:lineRule="auto"/>
        <w:tabs>
          <w:tab w:leader="none" w:pos="120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To my knowledge, there are no actions, suits or proceedings pending or threatened against any of REIT, the Company or any Subsidiary Note Party that (i) could reasonably be expected to have a Material Adverse Effect or (ii) purports to affect the legality, validity or enforceability of any Note Documents or the consummation of the transactions contemplated under the Note Purchase Agreement.</w:t>
      </w:r>
    </w:p>
    <w:p>
      <w:pPr>
        <w:spacing w:after="0" w:line="217" w:lineRule="exact"/>
        <w:rPr>
          <w:rFonts w:ascii="Arial" w:cs="Arial" w:eastAsia="Arial" w:hAnsi="Arial"/>
          <w:sz w:val="22"/>
          <w:szCs w:val="22"/>
          <w:color w:val="auto"/>
        </w:rPr>
      </w:pPr>
    </w:p>
    <w:p>
      <w:pPr>
        <w:jc w:val="both"/>
        <w:ind w:firstLine="832"/>
        <w:spacing w:after="0" w:line="341" w:lineRule="auto"/>
        <w:tabs>
          <w:tab w:leader="none" w:pos="123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To my knowledge, the execution and delivery by REIT, the Company and each Subsidiary Note Party of each of the Note Documents to which it is a party and the performance of their respective obligations thereunder do not (i) constitute a violation of, or a default under, any material indenture, mortgage, lease, contract, agreement or instrument of REIT, the Company or any Subsidiary Note Party (collectively, the “Applicable Contracts”) or (ii) cause the creation of any security interest or lien upon any property of REIT, the Company or any Subsidiary Note Party pursuant to any Applicable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2-</w:t>
      </w:r>
    </w:p>
    <w:p>
      <w:pPr>
        <w:sectPr>
          <w:pgSz w:w="11900" w:h="16838" w:orient="portrait"/>
          <w:cols w:equalWidth="0" w:num="1">
            <w:col w:w="11420"/>
          </w:cols>
          <w:pgMar w:left="240" w:top="672" w:right="23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21"/>
          <w:szCs w:val="21"/>
          <w:b w:val="1"/>
          <w:bCs w:val="1"/>
          <w:color w:val="auto"/>
        </w:rPr>
        <w:t>FORM OF OPINION OF SPECIAL COUNSEL</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 THE PURCHASERS</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Be Provided on a Case by Case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SCHEDULE 4.4(b)</w:t>
      </w:r>
    </w:p>
    <w:p>
      <w:pPr>
        <w:spacing w:after="0" w:line="44"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9019"/>
          </w:cols>
          <w:pgMar w:left="1440" w:top="679" w:right="1440" w:bottom="1440" w:gutter="0" w:footer="0" w:header="0"/>
        </w:sectPr>
      </w:pPr>
    </w:p>
    <w:bookmarkStart w:id="127" w:name="page128"/>
    <w:bookmarkEnd w:id="127"/>
    <w:p>
      <w:pPr>
        <w:jc w:val="center"/>
        <w:ind w:right="-20"/>
        <w:spacing w:after="0"/>
        <w:rPr>
          <w:sz w:val="20"/>
          <w:szCs w:val="20"/>
          <w:color w:val="auto"/>
        </w:rPr>
      </w:pPr>
      <w:r>
        <w:rPr>
          <w:rFonts w:ascii="Arial" w:cs="Arial" w:eastAsia="Arial" w:hAnsi="Arial"/>
          <w:sz w:val="21"/>
          <w:szCs w:val="21"/>
          <w:b w:val="1"/>
          <w:bCs w:val="1"/>
          <w:color w:val="auto"/>
        </w:rPr>
        <w:t>CONFIDENTIAL PRIVATE PLACEMENT MEMORANDUM DATED SEPTEMBER 2014</w:t>
      </w:r>
    </w:p>
    <w:p>
      <w:pPr>
        <w:sectPr>
          <w:pgSz w:w="11900" w:h="16838" w:orient="portrait"/>
          <w:cols w:equalWidth="0" w:num="1">
            <w:col w:w="9019"/>
          </w:cols>
          <w:pgMar w:left="1440" w:top="6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5.3</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(to Note Purchase Agreement)</w:t>
      </w:r>
    </w:p>
    <w:p>
      <w:pPr>
        <w:sectPr>
          <w:pgSz w:w="11900" w:h="16838" w:orient="portrait"/>
          <w:cols w:equalWidth="0" w:num="1">
            <w:col w:w="9019"/>
          </w:cols>
          <w:pgMar w:left="1440" w:top="679" w:right="1440" w:bottom="1440" w:gutter="0" w:footer="0" w:header="0"/>
          <w:type w:val="continuous"/>
        </w:sectPr>
      </w:pPr>
    </w:p>
    <w:bookmarkStart w:id="128" w:name="page129"/>
    <w:bookmarkEnd w:id="128"/>
    <w:p>
      <w:pPr>
        <w:jc w:val="center"/>
        <w:ind w:right="20"/>
        <w:spacing w:after="0"/>
        <w:rPr>
          <w:sz w:val="20"/>
          <w:szCs w:val="20"/>
          <w:color w:val="auto"/>
        </w:rPr>
      </w:pPr>
      <w:r>
        <w:rPr>
          <w:rFonts w:ascii="Arial" w:cs="Arial" w:eastAsia="Arial" w:hAnsi="Arial"/>
          <w:sz w:val="22"/>
          <w:szCs w:val="22"/>
          <w:b w:val="1"/>
          <w:bCs w:val="1"/>
          <w:color w:val="auto"/>
        </w:rPr>
        <w:t>SUBSIDIARIES OF THE NOTE PARTIES AND OWNERSHIP OF SUBSIDIARY STOCK</w:t>
      </w:r>
    </w:p>
    <w:p>
      <w:pPr>
        <w:spacing w:after="0" w:line="200" w:lineRule="exact"/>
        <w:rPr>
          <w:sz w:val="20"/>
          <w:szCs w:val="20"/>
          <w:color w:val="auto"/>
        </w:r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tcPr>
          <w:p>
            <w:pPr>
              <w:jc w:val="center"/>
              <w:ind w:left="213"/>
              <w:spacing w:after="0" w:line="242"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American Assets Trust,</w:t>
            </w:r>
          </w:p>
        </w:tc>
        <w:tc>
          <w:tcPr>
            <w:tcW w:w="15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91"/>
              </w:rPr>
              <w:t>Approx. 70.4%</w:t>
            </w:r>
          </w:p>
        </w:tc>
        <w:tc>
          <w:tcPr>
            <w:tcW w:w="148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92"/>
              </w:rPr>
              <w:t>Maryland</w:t>
            </w: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jc w:val="center"/>
              <w:ind w:left="213"/>
              <w:spacing w:after="0"/>
              <w:rPr>
                <w:sz w:val="20"/>
                <w:szCs w:val="20"/>
                <w:color w:val="auto"/>
              </w:rPr>
            </w:pPr>
            <w:r>
              <w:rPr>
                <w:rFonts w:ascii="Arial" w:cs="Arial" w:eastAsia="Arial" w:hAnsi="Arial"/>
                <w:sz w:val="22"/>
                <w:szCs w:val="22"/>
                <w:color w:val="auto"/>
                <w:w w:val="95"/>
              </w:rPr>
              <w:t>Inc.</w:t>
            </w:r>
          </w:p>
        </w:tc>
        <w:tc>
          <w:tcPr>
            <w:tcW w:w="2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L.P.</w:t>
            </w: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3"/>
              </w:rPr>
              <w:t>AAT CC Bellevue, LLC</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9"/>
              </w:rPr>
              <w:t>Jennifer Schwartz</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 ID</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AAT Geary Marketplace,</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3"/>
              <w:spacing w:after="0" w:line="248" w:lineRule="exact"/>
              <w:rPr>
                <w:sz w:val="20"/>
                <w:szCs w:val="20"/>
                <w:color w:val="auto"/>
              </w:rPr>
            </w:pPr>
            <w:r>
              <w:rPr>
                <w:rFonts w:ascii="Arial" w:cs="Arial" w:eastAsia="Arial" w:hAnsi="Arial"/>
                <w:sz w:val="22"/>
                <w:szCs w:val="22"/>
                <w:color w:val="auto"/>
                <w:w w:val="90"/>
              </w:rPr>
              <w:t>AAT Geary Marketplace,</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7"/>
              </w:rPr>
              <w:t>AAT Lloyd District, LLC</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Jerry Gammieri</w:t>
            </w: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James Durfey</w:t>
            </w:r>
          </w:p>
        </w:tc>
        <w:tc>
          <w:tcPr>
            <w:tcW w:w="0" w:type="dxa"/>
            <w:vAlign w:val="bottom"/>
          </w:tcPr>
          <w:p>
            <w:pPr>
              <w:spacing w:after="0"/>
              <w:rPr>
                <w:sz w:val="1"/>
                <w:szCs w:val="1"/>
                <w:color w:val="auto"/>
              </w:rPr>
            </w:pPr>
          </w:p>
        </w:tc>
      </w:tr>
      <w:tr>
        <w:trPr>
          <w:trHeight w:val="291"/>
        </w:trPr>
        <w:tc>
          <w:tcPr>
            <w:tcW w:w="2660" w:type="dxa"/>
            <w:vAlign w:val="bottom"/>
            <w:tcBorders>
              <w:left w:val="single" w:sz="8" w:color="00000A"/>
              <w:bottom w:val="single" w:sz="8" w:color="00000A"/>
              <w:right w:val="single" w:sz="8" w:color="00000A"/>
            </w:tcBorders>
          </w:tcPr>
          <w:p>
            <w:pPr>
              <w:jc w:val="center"/>
              <w:ind w:left="213"/>
              <w:spacing w:after="0"/>
              <w:rPr>
                <w:sz w:val="20"/>
                <w:szCs w:val="20"/>
                <w:color w:val="auto"/>
              </w:rPr>
            </w:pPr>
            <w:r>
              <w:rPr>
                <w:rFonts w:ascii="Arial" w:cs="Arial" w:eastAsia="Arial" w:hAnsi="Arial"/>
                <w:sz w:val="22"/>
                <w:szCs w:val="22"/>
                <w:color w:val="auto"/>
                <w:w w:val="97"/>
              </w:rPr>
              <w:t>AAT Lloyd District, LLC</w:t>
            </w:r>
          </w:p>
        </w:tc>
        <w:tc>
          <w:tcPr>
            <w:tcW w:w="2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SCHEDULE 5.4</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440"/>
          </w:cols>
          <w:pgMar w:left="240" w:top="679" w:right="219" w:bottom="1440" w:gutter="0" w:footer="0" w:header="0"/>
        </w:sectPr>
      </w:pPr>
    </w:p>
    <w:bookmarkStart w:id="129" w:name="page130"/>
    <w:bookmarkEnd w:id="129"/>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1"/>
              </w:rPr>
              <w:t>AAT One Beach, LLC</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3"/>
              </w:rPr>
              <w:t>Vic Duva – ID</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3"/>
              </w:rPr>
              <w:t>AAT Oregon Office I,</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3"/>
              </w:rPr>
              <w:t>Daniel McMahon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 ID</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Richard Ford – ID</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James Durfey</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2"/>
              </w:rPr>
              <w:t>Chris Sullivan</w:t>
            </w: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Jerry Gammieri</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1"/>
              </w:rPr>
              <w:t>AAT Solana 101, LLC</w:t>
            </w: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James Durfey</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2"/>
              </w:rPr>
              <w:t>Chris Sullivan</w:t>
            </w: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Jerry Gammieri</w:t>
            </w:r>
          </w:p>
        </w:tc>
        <w:tc>
          <w:tcPr>
            <w:tcW w:w="0" w:type="dxa"/>
            <w:vAlign w:val="bottom"/>
          </w:tcPr>
          <w:p>
            <w:pPr>
              <w:spacing w:after="0"/>
              <w:rPr>
                <w:sz w:val="1"/>
                <w:szCs w:val="1"/>
                <w:color w:val="auto"/>
              </w:rPr>
            </w:pPr>
          </w:p>
        </w:tc>
      </w:tr>
      <w:tr>
        <w:trPr>
          <w:trHeight w:val="291"/>
        </w:trPr>
        <w:tc>
          <w:tcPr>
            <w:tcW w:w="2660" w:type="dxa"/>
            <w:vAlign w:val="bottom"/>
            <w:tcBorders>
              <w:left w:val="single" w:sz="8" w:color="00000A"/>
              <w:bottom w:val="single" w:sz="8" w:color="00000A"/>
              <w:right w:val="single" w:sz="8" w:color="00000A"/>
            </w:tcBorders>
          </w:tcPr>
          <w:p>
            <w:pPr>
              <w:jc w:val="center"/>
              <w:ind w:left="233"/>
              <w:spacing w:after="0"/>
              <w:rPr>
                <w:sz w:val="20"/>
                <w:szCs w:val="20"/>
                <w:color w:val="auto"/>
              </w:rPr>
            </w:pPr>
            <w:r>
              <w:rPr>
                <w:rFonts w:ascii="Arial" w:cs="Arial" w:eastAsia="Arial" w:hAnsi="Arial"/>
                <w:sz w:val="22"/>
                <w:szCs w:val="22"/>
                <w:color w:val="auto"/>
                <w:w w:val="92"/>
              </w:rPr>
              <w:t>AAT Solana 101, LLC</w:t>
            </w:r>
          </w:p>
        </w:tc>
        <w:tc>
          <w:tcPr>
            <w:tcW w:w="2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42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2</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30" w:name="page131"/>
    <w:bookmarkEnd w:id="1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AAT Sorrento Pointe,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James Durfey</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2"/>
              </w:rPr>
              <w:t>Chris Sullivan</w:t>
            </w: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Jerry Gammieri</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33"/>
              <w:spacing w:after="0" w:line="248" w:lineRule="exact"/>
              <w:rPr>
                <w:sz w:val="20"/>
                <w:szCs w:val="20"/>
                <w:color w:val="auto"/>
              </w:rPr>
            </w:pPr>
            <w:r>
              <w:rPr>
                <w:rFonts w:ascii="Arial" w:cs="Arial" w:eastAsia="Arial" w:hAnsi="Arial"/>
                <w:sz w:val="22"/>
                <w:szCs w:val="22"/>
                <w:color w:val="auto"/>
                <w:w w:val="90"/>
              </w:rPr>
              <w:t>AAT Sorrento Pointe,</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AAT Torrey Reserve 5,</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James Durfey</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2"/>
              </w:rPr>
              <w:t>Chris Sullivan</w:t>
            </w: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Jerry Gammieri</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3"/>
              <w:spacing w:after="0" w:line="248" w:lineRule="exact"/>
              <w:rPr>
                <w:sz w:val="20"/>
                <w:szCs w:val="20"/>
                <w:color w:val="auto"/>
              </w:rPr>
            </w:pPr>
            <w:r>
              <w:rPr>
                <w:rFonts w:ascii="Arial" w:cs="Arial" w:eastAsia="Arial" w:hAnsi="Arial"/>
                <w:sz w:val="22"/>
                <w:szCs w:val="22"/>
                <w:color w:val="auto"/>
                <w:w w:val="89"/>
              </w:rPr>
              <w:t>AAT Torrey Reserve 5,</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42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3</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31" w:name="page132"/>
    <w:bookmarkEnd w:id="1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AAT Torrey Reserve 6,</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James Durfey</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2"/>
              </w:rPr>
              <w:t>Chris Sullivan</w:t>
            </w: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Jerry Gammieri</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3"/>
              <w:spacing w:after="0" w:line="248" w:lineRule="exact"/>
              <w:rPr>
                <w:sz w:val="20"/>
                <w:szCs w:val="20"/>
                <w:color w:val="auto"/>
              </w:rPr>
            </w:pPr>
            <w:r>
              <w:rPr>
                <w:rFonts w:ascii="Arial" w:cs="Arial" w:eastAsia="Arial" w:hAnsi="Arial"/>
                <w:sz w:val="22"/>
                <w:szCs w:val="22"/>
                <w:color w:val="auto"/>
                <w:w w:val="89"/>
              </w:rPr>
              <w:t>AAT Torrey Reserve 6,</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33"/>
              <w:spacing w:after="0" w:line="248" w:lineRule="exact"/>
              <w:rPr>
                <w:sz w:val="20"/>
                <w:szCs w:val="20"/>
                <w:color w:val="auto"/>
              </w:rPr>
            </w:pPr>
            <w:r>
              <w:rPr>
                <w:rFonts w:ascii="Arial" w:cs="Arial" w:eastAsia="Arial" w:hAnsi="Arial"/>
                <w:sz w:val="22"/>
                <w:szCs w:val="22"/>
                <w:color w:val="auto"/>
                <w:w w:val="93"/>
              </w:rPr>
              <w:t>ABW 2181 Holdings</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95"/>
              </w:rPr>
              <w:t>ABW Lewers LLC</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4"/>
              </w:rPr>
              <w:t>ABW 2181 Holdings LLC</w:t>
            </w:r>
          </w:p>
        </w:tc>
        <w:tc>
          <w:tcPr>
            <w:tcW w:w="15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6"/>
              </w:rPr>
              <w:t>Hawaii</w:t>
            </w: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95"/>
              </w:rPr>
              <w:t>ABW Lewers LLC</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6"/>
              </w:rPr>
              <w:t>ABW Holdings LLC</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90"/>
              </w:rPr>
              <w:t>Beach Walk Holdings</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ABW Lewers LLC</w:t>
            </w: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80%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6"/>
              </w:rPr>
              <w:t>Hawaii</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ABW Lewers LLC</w:t>
            </w: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20%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6"/>
              </w:rPr>
              <w:t>Hawaii</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42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4</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32" w:name="page133"/>
    <w:bookmarkEnd w:id="1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Alamo Stonecrest</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Holdings, 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3"/>
              <w:spacing w:after="0" w:line="248" w:lineRule="exact"/>
              <w:rPr>
                <w:sz w:val="20"/>
                <w:szCs w:val="20"/>
                <w:color w:val="auto"/>
              </w:rPr>
            </w:pPr>
            <w:r>
              <w:rPr>
                <w:rFonts w:ascii="Arial" w:cs="Arial" w:eastAsia="Arial" w:hAnsi="Arial"/>
                <w:sz w:val="22"/>
                <w:szCs w:val="22"/>
                <w:color w:val="auto"/>
                <w:w w:val="88"/>
              </w:rPr>
              <w:t>Alamo Stonecrest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94"/>
              </w:rPr>
              <w:t>Holdings, 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91"/>
              </w:rPr>
              <w:t>Vista Hacienda LLC</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1"/>
              </w:rPr>
              <w:t>Alamo Vista Holdings,</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3"/>
              <w:spacing w:after="0" w:line="248" w:lineRule="exact"/>
              <w:rPr>
                <w:sz w:val="20"/>
                <w:szCs w:val="20"/>
                <w:color w:val="auto"/>
              </w:rPr>
            </w:pPr>
            <w:r>
              <w:rPr>
                <w:rFonts w:ascii="Arial" w:cs="Arial" w:eastAsia="Arial" w:hAnsi="Arial"/>
                <w:sz w:val="22"/>
                <w:szCs w:val="22"/>
                <w:color w:val="auto"/>
                <w:w w:val="91"/>
              </w:rPr>
              <w:t>Alamo Vista Holdings,</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7"/>
              </w:rPr>
              <w:t>American Assets Services,</w:t>
            </w:r>
          </w:p>
        </w:tc>
        <w:tc>
          <w:tcPr>
            <w:tcW w:w="1500" w:type="dxa"/>
            <w:vAlign w:val="bottom"/>
            <w:tcBorders>
              <w:right w:val="single" w:sz="8" w:color="00000A"/>
            </w:tcBorders>
          </w:tcPr>
          <w:p>
            <w:pPr>
              <w:spacing w:after="0"/>
              <w:rPr>
                <w:sz w:val="10"/>
                <w:szCs w:val="10"/>
                <w:color w:val="auto"/>
              </w:rPr>
            </w:pPr>
          </w:p>
        </w:tc>
        <w:tc>
          <w:tcPr>
            <w:tcW w:w="148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Inc.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tcPr>
          <w:p>
            <w:pPr>
              <w:spacing w:after="0"/>
              <w:rPr>
                <w:sz w:val="10"/>
                <w:szCs w:val="10"/>
                <w:color w:val="auto"/>
              </w:rPr>
            </w:pPr>
          </w:p>
        </w:tc>
        <w:tc>
          <w:tcPr>
            <w:tcW w:w="148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tcPr>
          <w:p>
            <w:pPr>
              <w:spacing w:after="0"/>
              <w:rPr>
                <w:sz w:val="13"/>
                <w:szCs w:val="13"/>
                <w:color w:val="auto"/>
              </w:rPr>
            </w:pPr>
          </w:p>
        </w:tc>
        <w:tc>
          <w:tcPr>
            <w:tcW w:w="2400" w:type="dxa"/>
            <w:vAlign w:val="bottom"/>
            <w:tcBorders>
              <w:right w:val="single" w:sz="8" w:color="00000A"/>
            </w:tcBorders>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9"/>
              </w:rPr>
              <w:t>American Assets Trust</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1"/>
              </w:rPr>
              <w:t>Management, 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James Durfey</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2"/>
              </w:rPr>
              <w:t>Chris Sullivan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Jerry Gammieri</w:t>
            </w: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Wade Lange</w:t>
            </w: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42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5</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33" w:name="page134"/>
    <w:bookmarkEnd w:id="1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tcPr>
          <w:p>
            <w:pPr>
              <w:jc w:val="center"/>
              <w:ind w:left="212"/>
              <w:spacing w:after="0" w:line="242" w:lineRule="exact"/>
              <w:rPr>
                <w:sz w:val="20"/>
                <w:szCs w:val="20"/>
                <w:color w:val="auto"/>
              </w:rPr>
            </w:pPr>
            <w:r>
              <w:rPr>
                <w:rFonts w:ascii="Arial" w:cs="Arial" w:eastAsia="Arial" w:hAnsi="Arial"/>
                <w:sz w:val="22"/>
                <w:szCs w:val="22"/>
                <w:color w:val="auto"/>
                <w:w w:val="89"/>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32"/>
              <w:spacing w:after="0"/>
              <w:rPr>
                <w:sz w:val="20"/>
                <w:szCs w:val="20"/>
                <w:color w:val="auto"/>
              </w:rPr>
            </w:pPr>
            <w:r>
              <w:rPr>
                <w:rFonts w:ascii="Arial" w:cs="Arial" w:eastAsia="Arial" w:hAnsi="Arial"/>
                <w:sz w:val="22"/>
                <w:szCs w:val="22"/>
                <w:color w:val="auto"/>
                <w:w w:val="90"/>
              </w:rPr>
              <w:t>Management, 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Beach Walk Holdings</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Broadway 101 Sorrento</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4"/>
              </w:rPr>
              <w:t>Holdings,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Broadway 101 Stonecrest</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4"/>
              </w:rPr>
              <w:t>Holdings,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Broadway 225 Sorrento</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4"/>
              </w:rPr>
              <w:t>Holdings,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Broadway 225 Stonecrest</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4"/>
              </w:rPr>
              <w:t>Holdings,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32"/>
              <w:spacing w:after="0"/>
              <w:rPr>
                <w:sz w:val="20"/>
                <w:szCs w:val="20"/>
                <w:color w:val="auto"/>
              </w:rPr>
            </w:pPr>
            <w:r>
              <w:rPr>
                <w:rFonts w:ascii="Arial" w:cs="Arial" w:eastAsia="Arial" w:hAnsi="Arial"/>
                <w:sz w:val="22"/>
                <w:szCs w:val="22"/>
                <w:color w:val="auto"/>
                <w:w w:val="90"/>
              </w:rPr>
              <w:t>Pacific Del Mar Assets</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Carmel Country Plaza,</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7"/>
              </w:rPr>
              <w:t>1%</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6"/>
              </w:rPr>
              <w:t>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Carmel Country Plaza,</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99%</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6"/>
              </w:rPr>
              <w:t>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42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6</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34" w:name="page135"/>
    <w:bookmarkEnd w:id="1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tcPr>
          <w:p>
            <w:pPr>
              <w:ind w:left="380"/>
              <w:spacing w:after="0" w:line="242" w:lineRule="exact"/>
              <w:rPr>
                <w:sz w:val="20"/>
                <w:szCs w:val="20"/>
                <w:color w:val="auto"/>
              </w:rPr>
            </w:pPr>
            <w:r>
              <w:rPr>
                <w:rFonts w:ascii="Arial" w:cs="Arial" w:eastAsia="Arial" w:hAnsi="Arial"/>
                <w:sz w:val="22"/>
                <w:szCs w:val="22"/>
                <w:color w:val="auto"/>
              </w:rPr>
              <w:t>Carmel Country Plaza,</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ind w:left="380"/>
              <w:spacing w:after="0"/>
              <w:rPr>
                <w:sz w:val="20"/>
                <w:szCs w:val="20"/>
                <w:color w:val="auto"/>
              </w:rPr>
            </w:pPr>
            <w:r>
              <w:rPr>
                <w:rFonts w:ascii="Arial" w:cs="Arial" w:eastAsia="Arial" w:hAnsi="Arial"/>
                <w:sz w:val="22"/>
                <w:szCs w:val="22"/>
                <w:color w:val="auto"/>
              </w:rPr>
              <w:t>L.P.</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4"/>
              <w:spacing w:after="0" w:line="243"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Carmel Mountain Pad,</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4"/>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34"/>
              <w:spacing w:after="0" w:line="248" w:lineRule="exact"/>
              <w:rPr>
                <w:sz w:val="20"/>
                <w:szCs w:val="20"/>
                <w:color w:val="auto"/>
              </w:rPr>
            </w:pPr>
            <w:r>
              <w:rPr>
                <w:rFonts w:ascii="Arial" w:cs="Arial" w:eastAsia="Arial" w:hAnsi="Arial"/>
                <w:sz w:val="22"/>
                <w:szCs w:val="22"/>
                <w:color w:val="auto"/>
                <w:w w:val="89"/>
              </w:rPr>
              <w:t>Carmel Mountain Pad,</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34"/>
              <w:spacing w:after="0" w:line="243" w:lineRule="exact"/>
              <w:rPr>
                <w:sz w:val="20"/>
                <w:szCs w:val="20"/>
                <w:color w:val="auto"/>
              </w:rPr>
            </w:pPr>
            <w:r>
              <w:rPr>
                <w:rFonts w:ascii="Arial" w:cs="Arial" w:eastAsia="Arial" w:hAnsi="Arial"/>
                <w:sz w:val="22"/>
                <w:szCs w:val="22"/>
                <w:color w:val="auto"/>
                <w:w w:val="90"/>
              </w:rPr>
              <w:t>Del Monte Center</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4"/>
              </w:rPr>
              <w:t>Del Monte – DMCH, LLC</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4"/>
              <w:spacing w:after="0" w:line="243" w:lineRule="exact"/>
              <w:rPr>
                <w:sz w:val="20"/>
                <w:szCs w:val="20"/>
                <w:color w:val="auto"/>
              </w:rPr>
            </w:pPr>
            <w:r>
              <w:rPr>
                <w:rFonts w:ascii="Arial" w:cs="Arial" w:eastAsia="Arial" w:hAnsi="Arial"/>
                <w:sz w:val="22"/>
                <w:szCs w:val="22"/>
                <w:color w:val="auto"/>
                <w:w w:val="95"/>
              </w:rPr>
              <w:t>Holdings 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4"/>
              <w:spacing w:after="0" w:line="243" w:lineRule="exact"/>
              <w:rPr>
                <w:sz w:val="20"/>
                <w:szCs w:val="20"/>
                <w:color w:val="auto"/>
              </w:rPr>
            </w:pPr>
            <w:r>
              <w:rPr>
                <w:rFonts w:ascii="Arial" w:cs="Arial" w:eastAsia="Arial" w:hAnsi="Arial"/>
                <w:sz w:val="22"/>
                <w:szCs w:val="22"/>
                <w:color w:val="auto"/>
                <w:w w:val="87"/>
              </w:rPr>
              <w:t>Del Monte San Jose</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1"/>
              </w:rPr>
              <w:t>Del Monte – DMSJH,</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4"/>
              <w:spacing w:after="0" w:line="243" w:lineRule="exact"/>
              <w:rPr>
                <w:sz w:val="20"/>
                <w:szCs w:val="20"/>
                <w:color w:val="auto"/>
              </w:rPr>
            </w:pPr>
            <w:r>
              <w:rPr>
                <w:rFonts w:ascii="Arial" w:cs="Arial" w:eastAsia="Arial" w:hAnsi="Arial"/>
                <w:sz w:val="22"/>
                <w:szCs w:val="22"/>
                <w:color w:val="auto"/>
                <w:w w:val="95"/>
              </w:rPr>
              <w:t>Holdings LLC</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332"/>
        </w:trPr>
        <w:tc>
          <w:tcPr>
            <w:tcW w:w="2660" w:type="dxa"/>
            <w:vAlign w:val="bottom"/>
            <w:tcBorders>
              <w:left w:val="single" w:sz="8" w:color="00000A"/>
              <w:right w:val="single" w:sz="8" w:color="00000A"/>
            </w:tcBorders>
          </w:tcPr>
          <w:p>
            <w:pPr>
              <w:jc w:val="center"/>
              <w:ind w:left="214"/>
              <w:spacing w:after="0"/>
              <w:rPr>
                <w:sz w:val="20"/>
                <w:szCs w:val="20"/>
                <w:color w:val="auto"/>
              </w:rPr>
            </w:pPr>
            <w:r>
              <w:rPr>
                <w:rFonts w:ascii="Arial" w:cs="Arial" w:eastAsia="Arial" w:hAnsi="Arial"/>
                <w:sz w:val="22"/>
                <w:szCs w:val="22"/>
                <w:color w:val="auto"/>
                <w:w w:val="87"/>
              </w:rPr>
              <w:t>Kearny Mesa Business</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Del Monte – KMBC, LLC</w:t>
            </w:r>
          </w:p>
        </w:tc>
        <w:tc>
          <w:tcPr>
            <w:tcW w:w="15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4"/>
        </w:trPr>
        <w:tc>
          <w:tcPr>
            <w:tcW w:w="2660" w:type="dxa"/>
            <w:vAlign w:val="bottom"/>
            <w:tcBorders>
              <w:left w:val="single" w:sz="8" w:color="00000A"/>
              <w:right w:val="single" w:sz="8" w:color="00000A"/>
            </w:tcBorders>
          </w:tcPr>
          <w:p>
            <w:pPr>
              <w:jc w:val="center"/>
              <w:ind w:left="234"/>
              <w:spacing w:after="0" w:line="154" w:lineRule="exact"/>
              <w:rPr>
                <w:sz w:val="20"/>
                <w:szCs w:val="20"/>
                <w:color w:val="auto"/>
              </w:rPr>
            </w:pPr>
            <w:r>
              <w:rPr>
                <w:rFonts w:ascii="Arial" w:cs="Arial" w:eastAsia="Arial" w:hAnsi="Arial"/>
                <w:sz w:val="17"/>
                <w:szCs w:val="17"/>
                <w:color w:val="auto"/>
              </w:rPr>
              <w:t>Center LLC</w:t>
            </w:r>
          </w:p>
        </w:tc>
        <w:tc>
          <w:tcPr>
            <w:tcW w:w="2400" w:type="dxa"/>
            <w:vAlign w:val="bottom"/>
            <w:tcBorders>
              <w:right w:val="single" w:sz="8" w:color="00000A"/>
            </w:tcBorders>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jc w:val="center"/>
              <w:spacing w:after="0" w:line="154" w:lineRule="exact"/>
              <w:rPr>
                <w:sz w:val="20"/>
                <w:szCs w:val="20"/>
                <w:color w:val="auto"/>
              </w:rPr>
            </w:pPr>
            <w:r>
              <w:rPr>
                <w:rFonts w:ascii="Arial" w:cs="Arial" w:eastAsia="Arial" w:hAnsi="Arial"/>
                <w:sz w:val="17"/>
                <w:szCs w:val="17"/>
                <w:color w:val="auto"/>
              </w:rPr>
              <w:t>Robert Barton</w:t>
            </w:r>
          </w:p>
        </w:tc>
        <w:tc>
          <w:tcPr>
            <w:tcW w:w="1700" w:type="dxa"/>
            <w:vAlign w:val="bottom"/>
            <w:tcBorders>
              <w:right w:val="single" w:sz="8" w:color="00000A"/>
            </w:tcBorders>
          </w:tcPr>
          <w:p>
            <w:pPr>
              <w:jc w:val="center"/>
              <w:spacing w:after="0" w:line="154" w:lineRule="exact"/>
              <w:rPr>
                <w:sz w:val="20"/>
                <w:szCs w:val="20"/>
                <w:color w:val="auto"/>
              </w:rPr>
            </w:pPr>
            <w:r>
              <w:rPr>
                <w:rFonts w:ascii="Arial" w:cs="Arial" w:eastAsia="Arial" w:hAnsi="Arial"/>
                <w:sz w:val="17"/>
                <w:szCs w:val="17"/>
                <w:color w:val="auto"/>
              </w:rPr>
              <w:t>Adam Wyll</w:t>
            </w: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34"/>
              <w:spacing w:after="0" w:line="243" w:lineRule="exact"/>
              <w:rPr>
                <w:sz w:val="20"/>
                <w:szCs w:val="20"/>
                <w:color w:val="auto"/>
              </w:rPr>
            </w:pPr>
            <w:r>
              <w:rPr>
                <w:rFonts w:ascii="Arial" w:cs="Arial" w:eastAsia="Arial" w:hAnsi="Arial"/>
                <w:sz w:val="22"/>
                <w:szCs w:val="22"/>
                <w:color w:val="auto"/>
                <w:w w:val="88"/>
              </w:rPr>
              <w:t>Pacific Oceanside</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3"/>
              </w:rPr>
              <w:t>Del Monte – POH, LLC</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4"/>
              <w:spacing w:after="0" w:line="243" w:lineRule="exact"/>
              <w:rPr>
                <w:sz w:val="20"/>
                <w:szCs w:val="20"/>
                <w:color w:val="auto"/>
              </w:rPr>
            </w:pPr>
            <w:r>
              <w:rPr>
                <w:rFonts w:ascii="Arial" w:cs="Arial" w:eastAsia="Arial" w:hAnsi="Arial"/>
                <w:sz w:val="22"/>
                <w:szCs w:val="22"/>
                <w:color w:val="auto"/>
                <w:w w:val="95"/>
              </w:rPr>
              <w:t>Holdings 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42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7</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35" w:name="page136"/>
    <w:bookmarkEnd w:id="1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 Monte Center</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Holdings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Del Monte San Jose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Holdings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EBW Hotel LLC</w:t>
            </w: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6"/>
              </w:rPr>
              <w:t>Hawaii</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660" w:type="dxa"/>
            <w:vAlign w:val="bottom"/>
            <w:tcBorders>
              <w:left w:val="single" w:sz="8" w:color="00000A"/>
              <w:bottom w:val="single" w:sz="8" w:color="00000A"/>
              <w:right w:val="single" w:sz="8" w:color="00000A"/>
            </w:tcBorders>
          </w:tcPr>
          <w:p>
            <w:pPr>
              <w:jc w:val="center"/>
              <w:ind w:left="234"/>
              <w:spacing w:after="0"/>
              <w:rPr>
                <w:sz w:val="20"/>
                <w:szCs w:val="20"/>
                <w:color w:val="auto"/>
              </w:rPr>
            </w:pPr>
            <w:r>
              <w:rPr>
                <w:rFonts w:ascii="Arial" w:cs="Arial" w:eastAsia="Arial" w:hAnsi="Arial"/>
                <w:sz w:val="22"/>
                <w:szCs w:val="22"/>
                <w:color w:val="auto"/>
                <w:w w:val="96"/>
              </w:rPr>
              <w:t>EBW Hotel LLC</w:t>
            </w:r>
          </w:p>
        </w:tc>
        <w:tc>
          <w:tcPr>
            <w:tcW w:w="2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34"/>
              <w:spacing w:after="0" w:line="248" w:lineRule="exact"/>
              <w:rPr>
                <w:sz w:val="20"/>
                <w:szCs w:val="20"/>
                <w:color w:val="auto"/>
              </w:rPr>
            </w:pPr>
            <w:r>
              <w:rPr>
                <w:rFonts w:ascii="Arial" w:cs="Arial" w:eastAsia="Arial" w:hAnsi="Arial"/>
                <w:sz w:val="22"/>
                <w:szCs w:val="22"/>
                <w:color w:val="auto"/>
                <w:w w:val="91"/>
              </w:rPr>
              <w:t>ICW Plaza Holdings,</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332"/>
        </w:trPr>
        <w:tc>
          <w:tcPr>
            <w:tcW w:w="2660" w:type="dxa"/>
            <w:vAlign w:val="bottom"/>
            <w:tcBorders>
              <w:left w:val="single" w:sz="8" w:color="00000A"/>
              <w:right w:val="single" w:sz="8" w:color="00000A"/>
            </w:tcBorders>
          </w:tcPr>
          <w:p>
            <w:pPr>
              <w:jc w:val="center"/>
              <w:ind w:left="214"/>
              <w:spacing w:after="0"/>
              <w:rPr>
                <w:sz w:val="20"/>
                <w:szCs w:val="20"/>
                <w:color w:val="auto"/>
              </w:rPr>
            </w:pPr>
            <w:r>
              <w:rPr>
                <w:rFonts w:ascii="Arial" w:cs="Arial" w:eastAsia="Arial" w:hAnsi="Arial"/>
                <w:sz w:val="22"/>
                <w:szCs w:val="22"/>
                <w:color w:val="auto"/>
                <w:w w:val="89"/>
              </w:rPr>
              <w:t>ICW Plaza Merger Sub</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2"/>
              </w:rPr>
              <w:t>ICW Plaza Holdings, LLC</w:t>
            </w:r>
          </w:p>
        </w:tc>
        <w:tc>
          <w:tcPr>
            <w:tcW w:w="15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24"/>
                <w:szCs w:val="24"/>
                <w:color w:val="auto"/>
              </w:rPr>
            </w:pP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4"/>
        </w:trPr>
        <w:tc>
          <w:tcPr>
            <w:tcW w:w="2660" w:type="dxa"/>
            <w:vAlign w:val="bottom"/>
            <w:tcBorders>
              <w:left w:val="single" w:sz="8" w:color="00000A"/>
              <w:right w:val="single" w:sz="8" w:color="00000A"/>
            </w:tcBorders>
          </w:tcPr>
          <w:p>
            <w:pPr>
              <w:jc w:val="center"/>
              <w:ind w:left="214"/>
              <w:spacing w:after="0" w:line="154" w:lineRule="exact"/>
              <w:rPr>
                <w:sz w:val="20"/>
                <w:szCs w:val="20"/>
                <w:color w:val="auto"/>
              </w:rPr>
            </w:pPr>
            <w:r>
              <w:rPr>
                <w:rFonts w:ascii="Arial" w:cs="Arial" w:eastAsia="Arial" w:hAnsi="Arial"/>
                <w:sz w:val="17"/>
                <w:szCs w:val="17"/>
                <w:color w:val="auto"/>
              </w:rPr>
              <w:t>LLC</w:t>
            </w:r>
          </w:p>
        </w:tc>
        <w:tc>
          <w:tcPr>
            <w:tcW w:w="2400" w:type="dxa"/>
            <w:vAlign w:val="bottom"/>
            <w:tcBorders>
              <w:right w:val="single" w:sz="8" w:color="00000A"/>
            </w:tcBorders>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jc w:val="center"/>
              <w:spacing w:after="0" w:line="154" w:lineRule="exact"/>
              <w:rPr>
                <w:sz w:val="20"/>
                <w:szCs w:val="20"/>
                <w:color w:val="auto"/>
              </w:rPr>
            </w:pPr>
            <w:r>
              <w:rPr>
                <w:rFonts w:ascii="Arial" w:cs="Arial" w:eastAsia="Arial" w:hAnsi="Arial"/>
                <w:sz w:val="17"/>
                <w:szCs w:val="17"/>
                <w:color w:val="auto"/>
              </w:rPr>
              <w:t>Adam Wyll</w:t>
            </w: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ICW Plaza Merger Sub</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w w:val="93"/>
              </w:rPr>
              <w:t>Imperial Strand LLC</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1"/>
              </w:rPr>
              <w:t>Imperial Strand Holdings,</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42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8</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36" w:name="page137"/>
    <w:bookmarkEnd w:id="1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3"/>
              </w:rPr>
              <w:t>Imperial Strand LLC</w:t>
            </w: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Kearny Mesa Business</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Center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9"/>
              </w:rPr>
              <w:t>Pacific Firecreek</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3"/>
              </w:rPr>
              <w:t>Landmark FireHill</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w w:val="94"/>
              </w:rPr>
              <w:t>Holdings, LLC</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Holdings, 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8"/>
              </w:rPr>
              <w:t>Landmark Venture JV,</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9"/>
              </w:rPr>
              <w:t>Landmark Venture</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Holdings, 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Landmark Venture JV,</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Loma Palisades GP LLC</w:t>
            </w: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Loma Palisades, a</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1"/>
              </w:rPr>
              <w:t>California general</w:t>
            </w: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75%</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partnership</w:t>
            </w: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vMerge w:val="continue"/>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42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9</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37" w:name="page138"/>
    <w:bookmarkEnd w:id="1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vMerge w:val="restart"/>
          </w:tcPr>
          <w:p>
            <w:pPr>
              <w:jc w:val="center"/>
              <w:ind w:left="233"/>
              <w:spacing w:after="0"/>
              <w:rPr>
                <w:sz w:val="20"/>
                <w:szCs w:val="20"/>
                <w:color w:val="auto"/>
              </w:rPr>
            </w:pPr>
            <w:r>
              <w:rPr>
                <w:rFonts w:ascii="Arial" w:cs="Arial" w:eastAsia="Arial" w:hAnsi="Arial"/>
                <w:sz w:val="22"/>
                <w:szCs w:val="22"/>
                <w:color w:val="auto"/>
                <w:w w:val="94"/>
              </w:rPr>
              <w:t>Mariner’s Point, LLC</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2"/>
              </w:rPr>
              <w:t>Mariner’s Point Holdings,</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3"/>
              <w:spacing w:after="0" w:line="248"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3"/>
              </w:rPr>
              <w:t>Mariner’s Point, LLC</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1"/>
              </w:rPr>
              <w:t>Pacific Carmel Mountain</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Assets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91"/>
              </w:rPr>
              <w:t>Pacific Carmel Mountain</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1"/>
              </w:rPr>
              <w:t>Pacific Carmel Mountain</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7"/>
              </w:rPr>
              <w:t>1%</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90"/>
              </w:rPr>
              <w:t>Assets LLC</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Holdings, 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1"/>
              </w:rPr>
              <w:t>Pacific Carmel Mountain</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99%</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Holdings, 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3"/>
              <w:spacing w:after="0" w:line="248" w:lineRule="exact"/>
              <w:rPr>
                <w:sz w:val="20"/>
                <w:szCs w:val="20"/>
                <w:color w:val="auto"/>
              </w:rPr>
            </w:pPr>
            <w:r>
              <w:rPr>
                <w:rFonts w:ascii="Arial" w:cs="Arial" w:eastAsia="Arial" w:hAnsi="Arial"/>
                <w:sz w:val="22"/>
                <w:szCs w:val="22"/>
                <w:color w:val="auto"/>
                <w:w w:val="91"/>
              </w:rPr>
              <w:t>Pacific Carmel Mountain</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33"/>
              <w:spacing w:after="0"/>
              <w:rPr>
                <w:sz w:val="20"/>
                <w:szCs w:val="20"/>
                <w:color w:val="auto"/>
              </w:rPr>
            </w:pPr>
            <w:r>
              <w:rPr>
                <w:rFonts w:ascii="Arial" w:cs="Arial" w:eastAsia="Arial" w:hAnsi="Arial"/>
                <w:sz w:val="22"/>
                <w:szCs w:val="22"/>
                <w:color w:val="auto"/>
                <w:w w:val="90"/>
              </w:rPr>
              <w:t>Holdings, L.P.</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Pacific Del Mar Assets</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Pacific Firecreek</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4"/>
              </w:rPr>
              <w:t>Holdings,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38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10</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38" w:name="page139"/>
    <w:bookmarkEnd w:id="1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Pacific North Court GP</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2"/>
              <w:spacing w:after="0" w:line="248"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92"/>
              </w:rPr>
              <w:t>Pacific North Court</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99%</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Holdings, L.P.</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vMerge w:val="continue"/>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Pacific Oceanside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Holdings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6"/>
              </w:rPr>
              <w:t>Pacific Santa Fe Assets</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Pacific Santa Fe Assets</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Pacific Santa Fe Holdings,</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7"/>
              </w:rPr>
              <w:t>1%</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6"/>
              </w:rPr>
              <w:t>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Pacific Santa Fe Holdings,</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99%</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6"/>
              </w:rPr>
              <w:t>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32"/>
              <w:spacing w:after="0" w:line="248" w:lineRule="exact"/>
              <w:rPr>
                <w:sz w:val="20"/>
                <w:szCs w:val="20"/>
                <w:color w:val="auto"/>
              </w:rPr>
            </w:pPr>
            <w:r>
              <w:rPr>
                <w:rFonts w:ascii="Arial" w:cs="Arial" w:eastAsia="Arial" w:hAnsi="Arial"/>
                <w:sz w:val="22"/>
                <w:szCs w:val="22"/>
                <w:color w:val="auto"/>
                <w:w w:val="87"/>
              </w:rPr>
              <w:t>Pacific Santa Fe</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32"/>
              <w:spacing w:after="0"/>
              <w:rPr>
                <w:sz w:val="20"/>
                <w:szCs w:val="20"/>
                <w:color w:val="auto"/>
              </w:rPr>
            </w:pPr>
            <w:r>
              <w:rPr>
                <w:rFonts w:ascii="Arial" w:cs="Arial" w:eastAsia="Arial" w:hAnsi="Arial"/>
                <w:sz w:val="22"/>
                <w:szCs w:val="22"/>
                <w:color w:val="auto"/>
                <w:w w:val="90"/>
              </w:rPr>
              <w:t>Holdings, L.P.</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Pacific Solana Beach</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Assets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38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11</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39" w:name="page140"/>
    <w:bookmarkEnd w:id="1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vMerge w:val="restart"/>
          </w:tcPr>
          <w:p>
            <w:pPr>
              <w:jc w:val="center"/>
              <w:ind w:left="232"/>
              <w:spacing w:after="0"/>
              <w:rPr>
                <w:sz w:val="20"/>
                <w:szCs w:val="20"/>
                <w:color w:val="auto"/>
              </w:rPr>
            </w:pPr>
            <w:r>
              <w:rPr>
                <w:rFonts w:ascii="Arial" w:cs="Arial" w:eastAsia="Arial" w:hAnsi="Arial"/>
                <w:sz w:val="22"/>
                <w:szCs w:val="22"/>
                <w:color w:val="auto"/>
                <w:w w:val="88"/>
              </w:rPr>
              <w:t>Pacific Solana Beach</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Pacific Solana Beach</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20%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90"/>
              </w:rPr>
              <w:t>Assets LLC</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Holdings, 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Pacific Solana Beach</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80%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Holdings, 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32"/>
              <w:spacing w:after="0" w:line="248" w:lineRule="exact"/>
              <w:rPr>
                <w:sz w:val="20"/>
                <w:szCs w:val="20"/>
                <w:color w:val="auto"/>
              </w:rPr>
            </w:pPr>
            <w:r>
              <w:rPr>
                <w:rFonts w:ascii="Arial" w:cs="Arial" w:eastAsia="Arial" w:hAnsi="Arial"/>
                <w:sz w:val="22"/>
                <w:szCs w:val="22"/>
                <w:color w:val="auto"/>
                <w:w w:val="88"/>
              </w:rPr>
              <w:t>Pacific Solana Beach</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32"/>
              <w:spacing w:after="0"/>
              <w:rPr>
                <w:sz w:val="20"/>
                <w:szCs w:val="20"/>
                <w:color w:val="auto"/>
              </w:rPr>
            </w:pPr>
            <w:r>
              <w:rPr>
                <w:rFonts w:ascii="Arial" w:cs="Arial" w:eastAsia="Arial" w:hAnsi="Arial"/>
                <w:sz w:val="22"/>
                <w:szCs w:val="22"/>
                <w:color w:val="auto"/>
                <w:w w:val="90"/>
              </w:rPr>
              <w:t>Holdings, L.P.</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Pacific South Court Assets</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90"/>
              </w:rPr>
              <w:t>Pacific South Court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Pacific South Court</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7"/>
              </w:rPr>
              <w:t>1%</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90"/>
              </w:rPr>
              <w:t>Assets LLC</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Holdings, 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Pacific South Court</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99%</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Holdings, 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2"/>
              <w:spacing w:after="0" w:line="248" w:lineRule="exact"/>
              <w:rPr>
                <w:sz w:val="20"/>
                <w:szCs w:val="20"/>
                <w:color w:val="auto"/>
              </w:rPr>
            </w:pPr>
            <w:r>
              <w:rPr>
                <w:rFonts w:ascii="Arial" w:cs="Arial" w:eastAsia="Arial" w:hAnsi="Arial"/>
                <w:sz w:val="22"/>
                <w:szCs w:val="22"/>
                <w:color w:val="auto"/>
                <w:w w:val="90"/>
              </w:rPr>
              <w:t>Pacific South Court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32"/>
              <w:spacing w:after="0"/>
              <w:rPr>
                <w:sz w:val="20"/>
                <w:szCs w:val="20"/>
                <w:color w:val="auto"/>
              </w:rPr>
            </w:pPr>
            <w:r>
              <w:rPr>
                <w:rFonts w:ascii="Arial" w:cs="Arial" w:eastAsia="Arial" w:hAnsi="Arial"/>
                <w:sz w:val="22"/>
                <w:szCs w:val="22"/>
                <w:color w:val="auto"/>
                <w:w w:val="90"/>
              </w:rPr>
              <w:t>Holdings, L.P.</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Pacific Torrey Daycare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Assets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38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12</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40" w:name="page141"/>
    <w:bookmarkEnd w:id="1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vMerge w:val="restart"/>
          </w:tcPr>
          <w:p>
            <w:pPr>
              <w:jc w:val="center"/>
              <w:ind w:left="232"/>
              <w:spacing w:after="0"/>
              <w:rPr>
                <w:sz w:val="20"/>
                <w:szCs w:val="20"/>
                <w:color w:val="auto"/>
              </w:rPr>
            </w:pPr>
            <w:r>
              <w:rPr>
                <w:rFonts w:ascii="Arial" w:cs="Arial" w:eastAsia="Arial" w:hAnsi="Arial"/>
                <w:sz w:val="22"/>
                <w:szCs w:val="22"/>
                <w:color w:val="auto"/>
                <w:w w:val="89"/>
              </w:rPr>
              <w:t>Pacific Torrey Daycare</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Pacific Torrey Daycare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7"/>
              </w:rPr>
              <w:t>1%</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90"/>
              </w:rPr>
              <w:t>Assets LLC</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Holdings, 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Pacific Torrey Daycare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99%</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Holdings, 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32"/>
              <w:spacing w:after="0" w:line="248" w:lineRule="exact"/>
              <w:rPr>
                <w:sz w:val="20"/>
                <w:szCs w:val="20"/>
                <w:color w:val="auto"/>
              </w:rPr>
            </w:pPr>
            <w:r>
              <w:rPr>
                <w:rFonts w:ascii="Arial" w:cs="Arial" w:eastAsia="Arial" w:hAnsi="Arial"/>
                <w:sz w:val="22"/>
                <w:szCs w:val="22"/>
                <w:color w:val="auto"/>
                <w:w w:val="89"/>
              </w:rPr>
              <w:t>Pacific Torrey Daycare</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32"/>
              <w:spacing w:after="0"/>
              <w:rPr>
                <w:sz w:val="20"/>
                <w:szCs w:val="20"/>
                <w:color w:val="auto"/>
              </w:rPr>
            </w:pPr>
            <w:r>
              <w:rPr>
                <w:rFonts w:ascii="Arial" w:cs="Arial" w:eastAsia="Arial" w:hAnsi="Arial"/>
                <w:sz w:val="22"/>
                <w:szCs w:val="22"/>
                <w:color w:val="auto"/>
                <w:w w:val="90"/>
              </w:rPr>
              <w:t>Holdings, L.P.</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Pacific Torrey Reserve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West Assets 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Pacific Torrey Reserve</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Pacific Torrey Reserve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7"/>
              </w:rPr>
              <w:t>1%</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West Assets LLC</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West Holdings, 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Pacific Torrey Reserve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99%</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West Holdings, L.P.</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11"/>
        </w:trPr>
        <w:tc>
          <w:tcPr>
            <w:tcW w:w="2660" w:type="dxa"/>
            <w:vAlign w:val="bottom"/>
            <w:tcBorders>
              <w:left w:val="single" w:sz="8" w:color="00000A"/>
              <w:right w:val="single" w:sz="8" w:color="00000A"/>
            </w:tcBorders>
            <w:vMerge w:val="continue"/>
          </w:tcPr>
          <w:p>
            <w:pPr>
              <w:spacing w:after="0"/>
              <w:rPr>
                <w:sz w:val="18"/>
                <w:szCs w:val="18"/>
                <w:color w:val="auto"/>
              </w:rPr>
            </w:pPr>
          </w:p>
        </w:tc>
        <w:tc>
          <w:tcPr>
            <w:tcW w:w="240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93"/>
              </w:rPr>
              <w:t>Pacific VC Holdings, LLC</w:t>
            </w:r>
          </w:p>
        </w:tc>
        <w:tc>
          <w:tcPr>
            <w:tcW w:w="150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91"/>
              </w:rPr>
              <w:t>Ron Simon – ID</w:t>
            </w:r>
          </w:p>
        </w:tc>
        <w:tc>
          <w:tcPr>
            <w:tcW w:w="170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2"/>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75"/>
        </w:trPr>
        <w:tc>
          <w:tcPr>
            <w:tcW w:w="2660" w:type="dxa"/>
            <w:vAlign w:val="bottom"/>
            <w:tcBorders>
              <w:left w:val="single" w:sz="8" w:color="00000A"/>
              <w:bottom w:val="single" w:sz="8" w:color="00000A"/>
              <w:right w:val="single" w:sz="8" w:color="00000A"/>
            </w:tcBorders>
          </w:tcPr>
          <w:p>
            <w:pPr>
              <w:spacing w:after="0"/>
              <w:rPr>
                <w:sz w:val="6"/>
                <w:szCs w:val="6"/>
                <w:color w:val="auto"/>
              </w:rPr>
            </w:pPr>
          </w:p>
        </w:tc>
        <w:tc>
          <w:tcPr>
            <w:tcW w:w="2400" w:type="dxa"/>
            <w:vAlign w:val="bottom"/>
            <w:tcBorders>
              <w:bottom w:val="single" w:sz="8" w:color="00000A"/>
              <w:right w:val="single" w:sz="8" w:color="00000A"/>
            </w:tcBorders>
          </w:tcPr>
          <w:p>
            <w:pPr>
              <w:spacing w:after="0"/>
              <w:rPr>
                <w:sz w:val="6"/>
                <w:szCs w:val="6"/>
                <w:color w:val="auto"/>
              </w:rPr>
            </w:pPr>
          </w:p>
        </w:tc>
        <w:tc>
          <w:tcPr>
            <w:tcW w:w="1500" w:type="dxa"/>
            <w:vAlign w:val="bottom"/>
            <w:tcBorders>
              <w:bottom w:val="single" w:sz="8" w:color="00000A"/>
              <w:right w:val="single" w:sz="8" w:color="00000A"/>
            </w:tcBorders>
          </w:tcPr>
          <w:p>
            <w:pPr>
              <w:spacing w:after="0"/>
              <w:rPr>
                <w:sz w:val="6"/>
                <w:szCs w:val="6"/>
                <w:color w:val="auto"/>
              </w:rPr>
            </w:pPr>
          </w:p>
        </w:tc>
        <w:tc>
          <w:tcPr>
            <w:tcW w:w="1480" w:type="dxa"/>
            <w:vAlign w:val="bottom"/>
            <w:tcBorders>
              <w:bottom w:val="single" w:sz="8" w:color="00000A"/>
              <w:right w:val="single" w:sz="8" w:color="00000A"/>
            </w:tcBorders>
          </w:tcPr>
          <w:p>
            <w:pPr>
              <w:spacing w:after="0"/>
              <w:rPr>
                <w:sz w:val="6"/>
                <w:szCs w:val="6"/>
                <w:color w:val="auto"/>
              </w:rPr>
            </w:pPr>
          </w:p>
        </w:tc>
        <w:tc>
          <w:tcPr>
            <w:tcW w:w="1700" w:type="dxa"/>
            <w:vAlign w:val="bottom"/>
            <w:tcBorders>
              <w:bottom w:val="single" w:sz="8" w:color="00000A"/>
              <w:right w:val="single" w:sz="8" w:color="00000A"/>
            </w:tcBorders>
          </w:tcPr>
          <w:p>
            <w:pPr>
              <w:spacing w:after="0"/>
              <w:rPr>
                <w:sz w:val="6"/>
                <w:szCs w:val="6"/>
                <w:color w:val="auto"/>
              </w:rPr>
            </w:pPr>
          </w:p>
        </w:tc>
        <w:tc>
          <w:tcPr>
            <w:tcW w:w="1700" w:type="dxa"/>
            <w:vAlign w:val="bottom"/>
            <w:tcBorders>
              <w:bottom w:val="single" w:sz="8" w:color="00000A"/>
              <w:right w:val="single" w:sz="8" w:color="00000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2"/>
              </w:rPr>
              <w:t>Pacific Waikiki Assets,</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38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13</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41" w:name="page142"/>
    <w:bookmarkEnd w:id="1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tcPr>
          <w:p>
            <w:pPr>
              <w:jc w:val="center"/>
              <w:ind w:left="213"/>
              <w:spacing w:after="0" w:line="242"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93"/>
              </w:rPr>
              <w:t>Pacific Waikiki Holdings,</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75%</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6"/>
              </w:rPr>
              <w:t>L.P.</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vMerge w:val="continue"/>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3"/>
              <w:spacing w:after="0" w:line="248" w:lineRule="exact"/>
              <w:rPr>
                <w:sz w:val="20"/>
                <w:szCs w:val="20"/>
                <w:color w:val="auto"/>
              </w:rPr>
            </w:pPr>
            <w:r>
              <w:rPr>
                <w:rFonts w:ascii="Arial" w:cs="Arial" w:eastAsia="Arial" w:hAnsi="Arial"/>
                <w:sz w:val="22"/>
                <w:szCs w:val="22"/>
                <w:color w:val="auto"/>
                <w:w w:val="87"/>
              </w:rPr>
              <w:t>Rancho Carmel</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94"/>
              </w:rPr>
              <w:t>Holdings, 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33"/>
              <w:spacing w:after="0"/>
              <w:rPr>
                <w:sz w:val="20"/>
                <w:szCs w:val="20"/>
                <w:color w:val="auto"/>
              </w:rPr>
            </w:pPr>
            <w:r>
              <w:rPr>
                <w:rFonts w:ascii="Arial" w:cs="Arial" w:eastAsia="Arial" w:hAnsi="Arial"/>
                <w:sz w:val="22"/>
                <w:szCs w:val="22"/>
                <w:color w:val="auto"/>
                <w:w w:val="87"/>
              </w:rPr>
              <w:t>Rancho Carmel Plaza</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Rancho Carmel Holdings,</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11"/>
        </w:trPr>
        <w:tc>
          <w:tcPr>
            <w:tcW w:w="2660" w:type="dxa"/>
            <w:vAlign w:val="bottom"/>
            <w:tcBorders>
              <w:left w:val="single" w:sz="8" w:color="00000A"/>
              <w:right w:val="single" w:sz="8" w:color="00000A"/>
            </w:tcBorders>
            <w:vMerge w:val="continue"/>
          </w:tcPr>
          <w:p>
            <w:pPr>
              <w:spacing w:after="0"/>
              <w:rPr>
                <w:sz w:val="18"/>
                <w:szCs w:val="18"/>
                <w:color w:val="auto"/>
              </w:rPr>
            </w:pPr>
          </w:p>
        </w:tc>
        <w:tc>
          <w:tcPr>
            <w:tcW w:w="240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89"/>
              </w:rPr>
              <w:t>Rancho Carmel Plaza LLC</w:t>
            </w:r>
          </w:p>
        </w:tc>
        <w:tc>
          <w:tcPr>
            <w:tcW w:w="150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8"/>
                <w:szCs w:val="18"/>
                <w:color w:val="auto"/>
              </w:rPr>
            </w:pPr>
          </w:p>
        </w:tc>
        <w:tc>
          <w:tcPr>
            <w:tcW w:w="170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75"/>
        </w:trPr>
        <w:tc>
          <w:tcPr>
            <w:tcW w:w="2660" w:type="dxa"/>
            <w:vAlign w:val="bottom"/>
            <w:tcBorders>
              <w:left w:val="single" w:sz="8" w:color="00000A"/>
              <w:bottom w:val="single" w:sz="8" w:color="00000A"/>
              <w:right w:val="single" w:sz="8" w:color="00000A"/>
            </w:tcBorders>
          </w:tcPr>
          <w:p>
            <w:pPr>
              <w:spacing w:after="0"/>
              <w:rPr>
                <w:sz w:val="6"/>
                <w:szCs w:val="6"/>
                <w:color w:val="auto"/>
              </w:rPr>
            </w:pPr>
          </w:p>
        </w:tc>
        <w:tc>
          <w:tcPr>
            <w:tcW w:w="2400" w:type="dxa"/>
            <w:vAlign w:val="bottom"/>
            <w:tcBorders>
              <w:bottom w:val="single" w:sz="8" w:color="00000A"/>
              <w:right w:val="single" w:sz="8" w:color="00000A"/>
            </w:tcBorders>
          </w:tcPr>
          <w:p>
            <w:pPr>
              <w:spacing w:after="0"/>
              <w:rPr>
                <w:sz w:val="6"/>
                <w:szCs w:val="6"/>
                <w:color w:val="auto"/>
              </w:rPr>
            </w:pPr>
          </w:p>
        </w:tc>
        <w:tc>
          <w:tcPr>
            <w:tcW w:w="1500" w:type="dxa"/>
            <w:vAlign w:val="bottom"/>
            <w:tcBorders>
              <w:bottom w:val="single" w:sz="8" w:color="00000A"/>
              <w:right w:val="single" w:sz="8" w:color="00000A"/>
            </w:tcBorders>
          </w:tcPr>
          <w:p>
            <w:pPr>
              <w:spacing w:after="0"/>
              <w:rPr>
                <w:sz w:val="6"/>
                <w:szCs w:val="6"/>
                <w:color w:val="auto"/>
              </w:rPr>
            </w:pPr>
          </w:p>
        </w:tc>
        <w:tc>
          <w:tcPr>
            <w:tcW w:w="1480" w:type="dxa"/>
            <w:vAlign w:val="bottom"/>
            <w:tcBorders>
              <w:bottom w:val="single" w:sz="8" w:color="00000A"/>
              <w:right w:val="single" w:sz="8" w:color="00000A"/>
            </w:tcBorders>
          </w:tcPr>
          <w:p>
            <w:pPr>
              <w:spacing w:after="0"/>
              <w:rPr>
                <w:sz w:val="6"/>
                <w:szCs w:val="6"/>
                <w:color w:val="auto"/>
              </w:rPr>
            </w:pPr>
          </w:p>
        </w:tc>
        <w:tc>
          <w:tcPr>
            <w:tcW w:w="1700" w:type="dxa"/>
            <w:vAlign w:val="bottom"/>
            <w:tcBorders>
              <w:bottom w:val="single" w:sz="8" w:color="00000A"/>
              <w:right w:val="single" w:sz="8" w:color="00000A"/>
            </w:tcBorders>
          </w:tcPr>
          <w:p>
            <w:pPr>
              <w:spacing w:after="0"/>
              <w:rPr>
                <w:sz w:val="6"/>
                <w:szCs w:val="6"/>
                <w:color w:val="auto"/>
              </w:rPr>
            </w:pPr>
          </w:p>
        </w:tc>
        <w:tc>
          <w:tcPr>
            <w:tcW w:w="1700" w:type="dxa"/>
            <w:vAlign w:val="bottom"/>
            <w:tcBorders>
              <w:bottom w:val="single" w:sz="8" w:color="00000A"/>
              <w:right w:val="single" w:sz="8" w:color="00000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SB Corporate Centre III-</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rPr>
              <w:t>IV 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11"/>
        </w:trPr>
        <w:tc>
          <w:tcPr>
            <w:tcW w:w="2660" w:type="dxa"/>
            <w:vAlign w:val="bottom"/>
            <w:tcBorders>
              <w:left w:val="single" w:sz="8" w:color="00000A"/>
              <w:right w:val="single" w:sz="8" w:color="00000A"/>
            </w:tcBorders>
            <w:vMerge w:val="continue"/>
          </w:tcPr>
          <w:p>
            <w:pPr>
              <w:spacing w:after="0"/>
              <w:rPr>
                <w:sz w:val="18"/>
                <w:szCs w:val="18"/>
                <w:color w:val="auto"/>
              </w:rPr>
            </w:pPr>
          </w:p>
        </w:tc>
        <w:tc>
          <w:tcPr>
            <w:tcW w:w="240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90"/>
              </w:rPr>
              <w:t>SB Corporate Centre, LLC</w:t>
            </w:r>
          </w:p>
        </w:tc>
        <w:tc>
          <w:tcPr>
            <w:tcW w:w="150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8"/>
                <w:szCs w:val="18"/>
                <w:color w:val="auto"/>
              </w:rPr>
            </w:pPr>
          </w:p>
        </w:tc>
        <w:tc>
          <w:tcPr>
            <w:tcW w:w="1700" w:type="dxa"/>
            <w:vAlign w:val="bottom"/>
            <w:tcBorders>
              <w:right w:val="single" w:sz="8" w:color="00000A"/>
            </w:tcBorders>
          </w:tcPr>
          <w:p>
            <w:pPr>
              <w:jc w:val="center"/>
              <w:spacing w:after="0" w:line="210"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75"/>
        </w:trPr>
        <w:tc>
          <w:tcPr>
            <w:tcW w:w="2660" w:type="dxa"/>
            <w:vAlign w:val="bottom"/>
            <w:tcBorders>
              <w:left w:val="single" w:sz="8" w:color="00000A"/>
              <w:bottom w:val="single" w:sz="8" w:color="00000A"/>
              <w:right w:val="single" w:sz="8" w:color="00000A"/>
            </w:tcBorders>
          </w:tcPr>
          <w:p>
            <w:pPr>
              <w:spacing w:after="0"/>
              <w:rPr>
                <w:sz w:val="6"/>
                <w:szCs w:val="6"/>
                <w:color w:val="auto"/>
              </w:rPr>
            </w:pPr>
          </w:p>
        </w:tc>
        <w:tc>
          <w:tcPr>
            <w:tcW w:w="2400" w:type="dxa"/>
            <w:vAlign w:val="bottom"/>
            <w:tcBorders>
              <w:bottom w:val="single" w:sz="8" w:color="00000A"/>
              <w:right w:val="single" w:sz="8" w:color="00000A"/>
            </w:tcBorders>
          </w:tcPr>
          <w:p>
            <w:pPr>
              <w:spacing w:after="0"/>
              <w:rPr>
                <w:sz w:val="6"/>
                <w:szCs w:val="6"/>
                <w:color w:val="auto"/>
              </w:rPr>
            </w:pPr>
          </w:p>
        </w:tc>
        <w:tc>
          <w:tcPr>
            <w:tcW w:w="1500" w:type="dxa"/>
            <w:vAlign w:val="bottom"/>
            <w:tcBorders>
              <w:bottom w:val="single" w:sz="8" w:color="00000A"/>
              <w:right w:val="single" w:sz="8" w:color="00000A"/>
            </w:tcBorders>
          </w:tcPr>
          <w:p>
            <w:pPr>
              <w:spacing w:after="0"/>
              <w:rPr>
                <w:sz w:val="6"/>
                <w:szCs w:val="6"/>
                <w:color w:val="auto"/>
              </w:rPr>
            </w:pPr>
          </w:p>
        </w:tc>
        <w:tc>
          <w:tcPr>
            <w:tcW w:w="1480" w:type="dxa"/>
            <w:vAlign w:val="bottom"/>
            <w:tcBorders>
              <w:bottom w:val="single" w:sz="8" w:color="00000A"/>
              <w:right w:val="single" w:sz="8" w:color="00000A"/>
            </w:tcBorders>
          </w:tcPr>
          <w:p>
            <w:pPr>
              <w:spacing w:after="0"/>
              <w:rPr>
                <w:sz w:val="6"/>
                <w:szCs w:val="6"/>
                <w:color w:val="auto"/>
              </w:rPr>
            </w:pPr>
          </w:p>
        </w:tc>
        <w:tc>
          <w:tcPr>
            <w:tcW w:w="1700" w:type="dxa"/>
            <w:vAlign w:val="bottom"/>
            <w:tcBorders>
              <w:bottom w:val="single" w:sz="8" w:color="00000A"/>
              <w:right w:val="single" w:sz="8" w:color="00000A"/>
            </w:tcBorders>
          </w:tcPr>
          <w:p>
            <w:pPr>
              <w:spacing w:after="0"/>
              <w:rPr>
                <w:sz w:val="6"/>
                <w:szCs w:val="6"/>
                <w:color w:val="auto"/>
              </w:rPr>
            </w:pPr>
          </w:p>
        </w:tc>
        <w:tc>
          <w:tcPr>
            <w:tcW w:w="1700" w:type="dxa"/>
            <w:vAlign w:val="bottom"/>
            <w:tcBorders>
              <w:bottom w:val="single" w:sz="8" w:color="00000A"/>
              <w:right w:val="single" w:sz="8" w:color="00000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SB Towne Centre LLC</w:t>
            </w: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38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14</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42" w:name="page143"/>
    <w:bookmarkEnd w:id="1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7"/>
              </w:rPr>
              <w:t>SB Corporate Centre,</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2"/>
              </w:rPr>
              <w:t>SBCC Holdings, LLC</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332"/>
        </w:trPr>
        <w:tc>
          <w:tcPr>
            <w:tcW w:w="2660" w:type="dxa"/>
            <w:vAlign w:val="bottom"/>
            <w:tcBorders>
              <w:left w:val="single" w:sz="8" w:color="00000A"/>
              <w:right w:val="single" w:sz="8" w:color="00000A"/>
            </w:tcBorders>
          </w:tcPr>
          <w:p>
            <w:pPr>
              <w:spacing w:after="0"/>
              <w:rPr>
                <w:sz w:val="24"/>
                <w:szCs w:val="24"/>
                <w:color w:val="auto"/>
              </w:rPr>
            </w:pPr>
          </w:p>
        </w:tc>
        <w:tc>
          <w:tcPr>
            <w:tcW w:w="2400" w:type="dxa"/>
            <w:vAlign w:val="bottom"/>
            <w:tcBorders>
              <w:right w:val="single" w:sz="8" w:color="00000A"/>
            </w:tcBorders>
          </w:tcPr>
          <w:p>
            <w:pPr>
              <w:spacing w:after="0"/>
              <w:rPr>
                <w:sz w:val="24"/>
                <w:szCs w:val="24"/>
                <w:color w:val="auto"/>
              </w:rPr>
            </w:pPr>
          </w:p>
        </w:tc>
        <w:tc>
          <w:tcPr>
            <w:tcW w:w="1500" w:type="dxa"/>
            <w:vAlign w:val="bottom"/>
            <w:tcBorders>
              <w:right w:val="single" w:sz="8" w:color="00000A"/>
            </w:tcBorders>
          </w:tcPr>
          <w:p>
            <w:pPr>
              <w:spacing w:after="0"/>
              <w:rPr>
                <w:sz w:val="24"/>
                <w:szCs w:val="24"/>
                <w:color w:val="auto"/>
              </w:rPr>
            </w:pPr>
          </w:p>
        </w:tc>
        <w:tc>
          <w:tcPr>
            <w:tcW w:w="1480" w:type="dxa"/>
            <w:vAlign w:val="bottom"/>
            <w:tcBorders>
              <w:right w:val="single" w:sz="8" w:color="00000A"/>
            </w:tcBorders>
          </w:tcPr>
          <w:p>
            <w:pPr>
              <w:spacing w:after="0"/>
              <w:rPr>
                <w:sz w:val="24"/>
                <w:szCs w:val="24"/>
                <w:color w:val="auto"/>
              </w:rPr>
            </w:pP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54"/>
        </w:trPr>
        <w:tc>
          <w:tcPr>
            <w:tcW w:w="2660" w:type="dxa"/>
            <w:vAlign w:val="bottom"/>
            <w:tcBorders>
              <w:left w:val="single" w:sz="8" w:color="00000A"/>
              <w:right w:val="single" w:sz="8" w:color="00000A"/>
            </w:tcBorders>
            <w:vMerge w:val="restart"/>
          </w:tcPr>
          <w:p>
            <w:pPr>
              <w:jc w:val="center"/>
              <w:ind w:left="233"/>
              <w:spacing w:after="0"/>
              <w:rPr>
                <w:sz w:val="20"/>
                <w:szCs w:val="20"/>
                <w:color w:val="auto"/>
              </w:rPr>
            </w:pPr>
            <w:r>
              <w:rPr>
                <w:rFonts w:ascii="Arial" w:cs="Arial" w:eastAsia="Arial" w:hAnsi="Arial"/>
                <w:sz w:val="22"/>
                <w:szCs w:val="22"/>
                <w:color w:val="auto"/>
                <w:w w:val="90"/>
              </w:rPr>
              <w:t>SB Towne Centre LLC</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4"/>
              </w:rPr>
              <w:t>SBTC Holdings LLC</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154" w:lineRule="exact"/>
              <w:rPr>
                <w:sz w:val="20"/>
                <w:szCs w:val="20"/>
                <w:color w:val="auto"/>
              </w:rPr>
            </w:pPr>
            <w:r>
              <w:rPr>
                <w:rFonts w:ascii="Arial" w:cs="Arial" w:eastAsia="Arial" w:hAnsi="Arial"/>
                <w:sz w:val="17"/>
                <w:szCs w:val="17"/>
                <w:color w:val="auto"/>
              </w:rPr>
              <w:t>Robert Barton</w:t>
            </w: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3"/>
              </w:rPr>
              <w:t>Daniel McMahon</w:t>
            </w: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tcPr>
          <w:p>
            <w:pPr>
              <w:spacing w:after="0"/>
              <w:rPr>
                <w:sz w:val="10"/>
                <w:szCs w:val="10"/>
                <w:color w:val="auto"/>
              </w:rPr>
            </w:pPr>
          </w:p>
        </w:tc>
        <w:tc>
          <w:tcPr>
            <w:tcW w:w="2400" w:type="dxa"/>
            <w:vAlign w:val="bottom"/>
            <w:tcBorders>
              <w:right w:val="single" w:sz="8" w:color="00000A"/>
            </w:tcBorders>
          </w:tcPr>
          <w:p>
            <w:pPr>
              <w:spacing w:after="0"/>
              <w:rPr>
                <w:sz w:val="10"/>
                <w:szCs w:val="10"/>
                <w:color w:val="auto"/>
              </w:rPr>
            </w:pPr>
          </w:p>
        </w:tc>
        <w:tc>
          <w:tcPr>
            <w:tcW w:w="1500" w:type="dxa"/>
            <w:vAlign w:val="bottom"/>
            <w:tcBorders>
              <w:right w:val="single" w:sz="8" w:color="00000A"/>
            </w:tcBorders>
          </w:tcPr>
          <w:p>
            <w:pPr>
              <w:spacing w:after="0"/>
              <w:rPr>
                <w:sz w:val="10"/>
                <w:szCs w:val="10"/>
                <w:color w:val="auto"/>
              </w:rPr>
            </w:pPr>
          </w:p>
        </w:tc>
        <w:tc>
          <w:tcPr>
            <w:tcW w:w="148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tcPr>
          <w:p>
            <w:pPr>
              <w:spacing w:after="0"/>
              <w:rPr>
                <w:sz w:val="13"/>
                <w:szCs w:val="13"/>
                <w:color w:val="auto"/>
              </w:rPr>
            </w:pPr>
          </w:p>
        </w:tc>
        <w:tc>
          <w:tcPr>
            <w:tcW w:w="2400" w:type="dxa"/>
            <w:vAlign w:val="bottom"/>
            <w:tcBorders>
              <w:right w:val="single" w:sz="8" w:color="00000A"/>
            </w:tcBorders>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 ID</w:t>
            </w:r>
          </w:p>
        </w:tc>
        <w:tc>
          <w:tcPr>
            <w:tcW w:w="170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tcPr>
          <w:p>
            <w:pPr>
              <w:spacing w:after="0"/>
              <w:rPr>
                <w:sz w:val="7"/>
                <w:szCs w:val="7"/>
                <w:color w:val="auto"/>
              </w:rPr>
            </w:pPr>
          </w:p>
        </w:tc>
        <w:tc>
          <w:tcPr>
            <w:tcW w:w="240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Richard Ford – ID</w:t>
            </w:r>
          </w:p>
        </w:tc>
        <w:tc>
          <w:tcPr>
            <w:tcW w:w="170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Southbay Marketplace</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Holdings, 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1"/>
              </w:rPr>
              <w:t>Vista Hacienda LLC</w:t>
            </w: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3"/>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3"/>
              <w:spacing w:after="0" w:line="243" w:lineRule="exact"/>
              <w:rPr>
                <w:sz w:val="20"/>
                <w:szCs w:val="20"/>
                <w:color w:val="auto"/>
              </w:rPr>
            </w:pPr>
            <w:r>
              <w:rPr>
                <w:rFonts w:ascii="Arial" w:cs="Arial" w:eastAsia="Arial" w:hAnsi="Arial"/>
                <w:sz w:val="22"/>
                <w:szCs w:val="22"/>
                <w:color w:val="auto"/>
                <w:w w:val="89"/>
              </w:rPr>
              <w:t>Broadway 101 Sorrento</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9"/>
              </w:rPr>
              <w:t>Waikele 101 Sorrento,</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3"/>
              <w:spacing w:after="0" w:line="243" w:lineRule="exact"/>
              <w:rPr>
                <w:sz w:val="20"/>
                <w:szCs w:val="20"/>
                <w:color w:val="auto"/>
              </w:rPr>
            </w:pPr>
            <w:r>
              <w:rPr>
                <w:rFonts w:ascii="Arial" w:cs="Arial" w:eastAsia="Arial" w:hAnsi="Arial"/>
                <w:sz w:val="22"/>
                <w:szCs w:val="22"/>
                <w:color w:val="auto"/>
                <w:w w:val="94"/>
              </w:rPr>
              <w:t>Holdings, LLC</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3"/>
              <w:spacing w:after="0" w:line="248" w:lineRule="exact"/>
              <w:rPr>
                <w:sz w:val="20"/>
                <w:szCs w:val="20"/>
                <w:color w:val="auto"/>
              </w:rPr>
            </w:pPr>
            <w:r>
              <w:rPr>
                <w:rFonts w:ascii="Arial" w:cs="Arial" w:eastAsia="Arial" w:hAnsi="Arial"/>
                <w:sz w:val="22"/>
                <w:szCs w:val="22"/>
                <w:color w:val="auto"/>
                <w:w w:val="89"/>
              </w:rPr>
              <w:t>Waikele 101 Sorrento,</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33"/>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38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15</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43" w:name="page144"/>
    <w:bookmarkEnd w:id="1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2"/>
              <w:spacing w:after="0" w:line="243" w:lineRule="exact"/>
              <w:rPr>
                <w:sz w:val="20"/>
                <w:szCs w:val="20"/>
                <w:color w:val="auto"/>
              </w:rPr>
            </w:pPr>
            <w:r>
              <w:rPr>
                <w:rFonts w:ascii="Arial" w:cs="Arial" w:eastAsia="Arial" w:hAnsi="Arial"/>
                <w:sz w:val="22"/>
                <w:szCs w:val="22"/>
                <w:color w:val="auto"/>
                <w:w w:val="88"/>
              </w:rPr>
              <w:t>Broadway 101 Stonecrest</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Waikele 101 Stonecrest,</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2"/>
              <w:spacing w:after="0" w:line="243" w:lineRule="exact"/>
              <w:rPr>
                <w:sz w:val="20"/>
                <w:szCs w:val="20"/>
                <w:color w:val="auto"/>
              </w:rPr>
            </w:pPr>
            <w:r>
              <w:rPr>
                <w:rFonts w:ascii="Arial" w:cs="Arial" w:eastAsia="Arial" w:hAnsi="Arial"/>
                <w:sz w:val="22"/>
                <w:szCs w:val="22"/>
                <w:color w:val="auto"/>
                <w:w w:val="94"/>
              </w:rPr>
              <w:t>Holdings, LLC</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2"/>
              <w:spacing w:after="0" w:line="248" w:lineRule="exact"/>
              <w:rPr>
                <w:sz w:val="20"/>
                <w:szCs w:val="20"/>
                <w:color w:val="auto"/>
              </w:rPr>
            </w:pPr>
            <w:r>
              <w:rPr>
                <w:rFonts w:ascii="Arial" w:cs="Arial" w:eastAsia="Arial" w:hAnsi="Arial"/>
                <w:sz w:val="22"/>
                <w:szCs w:val="22"/>
                <w:color w:val="auto"/>
                <w:w w:val="88"/>
              </w:rPr>
              <w:t>Waikele 101 Stonecrest,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32"/>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2"/>
              <w:spacing w:after="0" w:line="243" w:lineRule="exact"/>
              <w:rPr>
                <w:sz w:val="20"/>
                <w:szCs w:val="20"/>
                <w:color w:val="auto"/>
              </w:rPr>
            </w:pPr>
            <w:r>
              <w:rPr>
                <w:rFonts w:ascii="Arial" w:cs="Arial" w:eastAsia="Arial" w:hAnsi="Arial"/>
                <w:sz w:val="22"/>
                <w:szCs w:val="22"/>
                <w:color w:val="auto"/>
                <w:w w:val="89"/>
              </w:rPr>
              <w:t>Broadway 225 Sorrento</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9"/>
              </w:rPr>
              <w:t>Waikele 225 Sorrento,</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2"/>
              <w:spacing w:after="0" w:line="243" w:lineRule="exact"/>
              <w:rPr>
                <w:sz w:val="20"/>
                <w:szCs w:val="20"/>
                <w:color w:val="auto"/>
              </w:rPr>
            </w:pPr>
            <w:r>
              <w:rPr>
                <w:rFonts w:ascii="Arial" w:cs="Arial" w:eastAsia="Arial" w:hAnsi="Arial"/>
                <w:sz w:val="22"/>
                <w:szCs w:val="22"/>
                <w:color w:val="auto"/>
                <w:w w:val="94"/>
              </w:rPr>
              <w:t>Holdings, LLC</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2"/>
              <w:spacing w:after="0" w:line="248" w:lineRule="exact"/>
              <w:rPr>
                <w:sz w:val="20"/>
                <w:szCs w:val="20"/>
                <w:color w:val="auto"/>
              </w:rPr>
            </w:pPr>
            <w:r>
              <w:rPr>
                <w:rFonts w:ascii="Arial" w:cs="Arial" w:eastAsia="Arial" w:hAnsi="Arial"/>
                <w:sz w:val="22"/>
                <w:szCs w:val="22"/>
                <w:color w:val="auto"/>
                <w:w w:val="89"/>
              </w:rPr>
              <w:t>Waikele 225 Sorrento,</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32"/>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2"/>
              <w:spacing w:after="0" w:line="243" w:lineRule="exact"/>
              <w:rPr>
                <w:sz w:val="20"/>
                <w:szCs w:val="20"/>
                <w:color w:val="auto"/>
              </w:rPr>
            </w:pPr>
            <w:r>
              <w:rPr>
                <w:rFonts w:ascii="Arial" w:cs="Arial" w:eastAsia="Arial" w:hAnsi="Arial"/>
                <w:sz w:val="22"/>
                <w:szCs w:val="22"/>
                <w:color w:val="auto"/>
                <w:w w:val="88"/>
              </w:rPr>
              <w:t>Broadway 225 Stonecrest</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Waikele 225 Stonecrest,</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2"/>
              <w:spacing w:after="0" w:line="243" w:lineRule="exact"/>
              <w:rPr>
                <w:sz w:val="20"/>
                <w:szCs w:val="20"/>
                <w:color w:val="auto"/>
              </w:rPr>
            </w:pPr>
            <w:r>
              <w:rPr>
                <w:rFonts w:ascii="Arial" w:cs="Arial" w:eastAsia="Arial" w:hAnsi="Arial"/>
                <w:sz w:val="22"/>
                <w:szCs w:val="22"/>
                <w:color w:val="auto"/>
                <w:w w:val="94"/>
              </w:rPr>
              <w:t>Holdings, LLC</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Patrick Kinney</w:t>
            </w: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2"/>
              <w:spacing w:after="0" w:line="248" w:lineRule="exact"/>
              <w:rPr>
                <w:sz w:val="20"/>
                <w:szCs w:val="20"/>
                <w:color w:val="auto"/>
              </w:rPr>
            </w:pPr>
            <w:r>
              <w:rPr>
                <w:rFonts w:ascii="Arial" w:cs="Arial" w:eastAsia="Arial" w:hAnsi="Arial"/>
                <w:sz w:val="22"/>
                <w:szCs w:val="22"/>
                <w:color w:val="auto"/>
                <w:w w:val="88"/>
              </w:rPr>
              <w:t>Waikele 225 Stonecrest,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32"/>
              <w:spacing w:after="0"/>
              <w:rPr>
                <w:sz w:val="20"/>
                <w:szCs w:val="20"/>
                <w:color w:val="auto"/>
              </w:rPr>
            </w:pPr>
            <w:r>
              <w:rPr>
                <w:rFonts w:ascii="Arial" w:cs="Arial" w:eastAsia="Arial" w:hAnsi="Arial"/>
                <w:sz w:val="22"/>
                <w:szCs w:val="22"/>
                <w:color w:val="auto"/>
              </w:rPr>
              <w:t>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00000A"/>
              <w:right w:val="single" w:sz="8" w:color="00000A"/>
            </w:tcBorders>
          </w:tcPr>
          <w:p>
            <w:pPr>
              <w:jc w:val="center"/>
              <w:ind w:left="212"/>
              <w:spacing w:after="0" w:line="243" w:lineRule="exact"/>
              <w:rPr>
                <w:sz w:val="20"/>
                <w:szCs w:val="20"/>
                <w:color w:val="auto"/>
              </w:rPr>
            </w:pPr>
            <w:r>
              <w:rPr>
                <w:rFonts w:ascii="Arial" w:cs="Arial" w:eastAsia="Arial" w:hAnsi="Arial"/>
                <w:sz w:val="22"/>
                <w:szCs w:val="22"/>
                <w:color w:val="auto"/>
                <w:w w:val="88"/>
              </w:rPr>
              <w:t>Pacific Torrey Reserve</w:t>
            </w:r>
          </w:p>
        </w:tc>
        <w:tc>
          <w:tcPr>
            <w:tcW w:w="24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7"/>
              </w:rPr>
              <w:t>Waikele Reserve West</w:t>
            </w: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32"/>
              <w:spacing w:after="0" w:line="243" w:lineRule="exact"/>
              <w:rPr>
                <w:sz w:val="20"/>
                <w:szCs w:val="20"/>
                <w:color w:val="auto"/>
              </w:rPr>
            </w:pPr>
            <w:r>
              <w:rPr>
                <w:rFonts w:ascii="Arial" w:cs="Arial" w:eastAsia="Arial" w:hAnsi="Arial"/>
                <w:sz w:val="22"/>
                <w:szCs w:val="22"/>
                <w:color w:val="auto"/>
                <w:w w:val="89"/>
              </w:rPr>
              <w:t>West Holdings, L.P.</w:t>
            </w: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4"/>
              </w:rPr>
              <w:t>Holdings, LLC</w:t>
            </w:r>
          </w:p>
        </w:tc>
        <w:tc>
          <w:tcPr>
            <w:tcW w:w="1500" w:type="dxa"/>
            <w:vAlign w:val="bottom"/>
            <w:tcBorders>
              <w:right w:val="single" w:sz="8" w:color="00000A"/>
            </w:tcBorders>
            <w:vMerge w:val="continue"/>
          </w:tcPr>
          <w:p>
            <w:pPr>
              <w:spacing w:after="0"/>
              <w:rPr>
                <w:sz w:val="13"/>
                <w:szCs w:val="13"/>
                <w:color w:val="auto"/>
              </w:rPr>
            </w:pPr>
          </w:p>
        </w:tc>
        <w:tc>
          <w:tcPr>
            <w:tcW w:w="1480" w:type="dxa"/>
            <w:vAlign w:val="bottom"/>
            <w:tcBorders>
              <w:right w:val="single" w:sz="8" w:color="00000A"/>
            </w:tcBorders>
            <w:vMerge w:val="continue"/>
          </w:tcPr>
          <w:p>
            <w:pPr>
              <w:spacing w:after="0"/>
              <w:rPr>
                <w:sz w:val="13"/>
                <w:szCs w:val="13"/>
                <w:color w:val="auto"/>
              </w:rPr>
            </w:pP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90"/>
        </w:trPr>
        <w:tc>
          <w:tcPr>
            <w:tcW w:w="2660" w:type="dxa"/>
            <w:vAlign w:val="bottom"/>
            <w:tcBorders>
              <w:left w:val="single" w:sz="8" w:color="00000A"/>
              <w:right w:val="single" w:sz="8" w:color="00000A"/>
            </w:tcBorders>
            <w:vMerge w:val="continue"/>
          </w:tcPr>
          <w:p>
            <w:pPr>
              <w:spacing w:after="0"/>
              <w:rPr>
                <w:sz w:val="7"/>
                <w:szCs w:val="7"/>
                <w:color w:val="auto"/>
              </w:rPr>
            </w:pPr>
          </w:p>
        </w:tc>
        <w:tc>
          <w:tcPr>
            <w:tcW w:w="2400" w:type="dxa"/>
            <w:vAlign w:val="bottom"/>
            <w:tcBorders>
              <w:right w:val="single" w:sz="8" w:color="00000A"/>
            </w:tcBorders>
            <w:vMerge w:val="continue"/>
          </w:tcPr>
          <w:p>
            <w:pPr>
              <w:spacing w:after="0"/>
              <w:rPr>
                <w:sz w:val="7"/>
                <w:szCs w:val="7"/>
                <w:color w:val="auto"/>
              </w:rPr>
            </w:pPr>
          </w:p>
        </w:tc>
        <w:tc>
          <w:tcPr>
            <w:tcW w:w="150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17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660" w:type="dxa"/>
            <w:vAlign w:val="bottom"/>
            <w:tcBorders>
              <w:left w:val="single" w:sz="8" w:color="00000A"/>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Ron Simon – ID</w:t>
            </w:r>
          </w:p>
        </w:tc>
        <w:tc>
          <w:tcPr>
            <w:tcW w:w="170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2"/>
              <w:spacing w:after="0" w:line="248" w:lineRule="exact"/>
              <w:rPr>
                <w:sz w:val="20"/>
                <w:szCs w:val="20"/>
                <w:color w:val="auto"/>
              </w:rPr>
            </w:pPr>
            <w:r>
              <w:rPr>
                <w:rFonts w:ascii="Arial" w:cs="Arial" w:eastAsia="Arial" w:hAnsi="Arial"/>
                <w:sz w:val="22"/>
                <w:szCs w:val="22"/>
                <w:color w:val="auto"/>
                <w:w w:val="87"/>
              </w:rPr>
              <w:t>Waikele Reserve West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2"/>
              <w:spacing w:after="0"/>
              <w:rPr>
                <w:sz w:val="20"/>
                <w:szCs w:val="20"/>
                <w:color w:val="auto"/>
              </w:rPr>
            </w:pPr>
            <w:r>
              <w:rPr>
                <w:rFonts w:ascii="Arial" w:cs="Arial" w:eastAsia="Arial" w:hAnsi="Arial"/>
                <w:sz w:val="22"/>
                <w:szCs w:val="22"/>
                <w:color w:val="auto"/>
                <w:w w:val="96"/>
              </w:rPr>
              <w:t>Holdings, 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ind w:left="38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16</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144" w:name="page145"/>
    <w:bookmarkEnd w:id="1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00000A"/>
              <w:left w:val="single" w:sz="8" w:color="00000A"/>
              <w:right w:val="single" w:sz="8" w:color="00000A"/>
            </w:tcBorders>
            <w:shd w:val="clear" w:color="auto" w:fill="D9D9D9"/>
          </w:tcPr>
          <w:p>
            <w:pPr>
              <w:spacing w:after="0"/>
              <w:rPr>
                <w:sz w:val="22"/>
                <w:szCs w:val="22"/>
                <w:color w:val="auto"/>
              </w:rPr>
            </w:pPr>
          </w:p>
        </w:tc>
        <w:tc>
          <w:tcPr>
            <w:tcW w:w="2400" w:type="dxa"/>
            <w:vAlign w:val="bottom"/>
            <w:tcBorders>
              <w:top w:val="single" w:sz="8" w:color="00000A"/>
              <w:right w:val="single" w:sz="8" w:color="00000A"/>
            </w:tcBorders>
            <w:shd w:val="clear" w:color="auto" w:fill="D9D9D9"/>
          </w:tcPr>
          <w:p>
            <w:pPr>
              <w:spacing w:after="0"/>
              <w:rPr>
                <w:sz w:val="22"/>
                <w:szCs w:val="22"/>
                <w:color w:val="auto"/>
              </w:rPr>
            </w:pPr>
          </w:p>
        </w:tc>
        <w:tc>
          <w:tcPr>
            <w:tcW w:w="1500" w:type="dxa"/>
            <w:vAlign w:val="bottom"/>
            <w:tcBorders>
              <w:top w:val="single" w:sz="8" w:color="00000A"/>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Share/</w:t>
            </w:r>
          </w:p>
        </w:tc>
        <w:tc>
          <w:tcPr>
            <w:tcW w:w="1480" w:type="dxa"/>
            <w:vAlign w:val="bottom"/>
            <w:tcBorders>
              <w:top w:val="single" w:sz="8" w:color="00000A"/>
              <w:right w:val="single" w:sz="8" w:color="00000A"/>
            </w:tcBorders>
            <w:shd w:val="clear" w:color="auto" w:fill="D9D9D9"/>
          </w:tcPr>
          <w:p>
            <w:pPr>
              <w:spacing w:after="0"/>
              <w:rPr>
                <w:sz w:val="22"/>
                <w:szCs w:val="22"/>
                <w:color w:val="auto"/>
              </w:rPr>
            </w:pPr>
          </w:p>
        </w:tc>
        <w:tc>
          <w:tcPr>
            <w:tcW w:w="17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0"/>
                <w:szCs w:val="20"/>
                <w:color w:val="auto"/>
                <w:w w:val="93"/>
              </w:rPr>
              <w:t>NOTE PARTY</w:t>
            </w:r>
          </w:p>
        </w:tc>
        <w:tc>
          <w:tcPr>
            <w:tcW w:w="1700" w:type="dxa"/>
            <w:vAlign w:val="bottom"/>
            <w:tcBorders>
              <w:top w:val="single" w:sz="8" w:color="00000A"/>
              <w:right w:val="single" w:sz="8" w:color="00000A"/>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5"/>
              </w:rPr>
              <w:t>SUBSIDIARIES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4"/>
              </w:rPr>
              <w:t>Percentage</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3"/>
              </w:rPr>
              <w:t>DIRECTORS</w:t>
            </w:r>
          </w:p>
        </w:tc>
        <w:tc>
          <w:tcPr>
            <w:tcW w:w="1700" w:type="dxa"/>
            <w:vAlign w:val="bottom"/>
            <w:tcBorders>
              <w:right w:val="single" w:sz="8" w:color="00000A"/>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Ownership of</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(“ID” means</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Note Party</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Jurisdiction of</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00000A"/>
              <w:right w:val="single" w:sz="8" w:color="00000A"/>
            </w:tcBorders>
            <w:shd w:val="clear" w:color="auto" w:fill="D9D9D9"/>
          </w:tcPr>
          <w:p>
            <w:pPr>
              <w:spacing w:after="0"/>
              <w:rPr>
                <w:sz w:val="12"/>
                <w:szCs w:val="12"/>
                <w:color w:val="auto"/>
              </w:rPr>
            </w:pPr>
          </w:p>
        </w:tc>
        <w:tc>
          <w:tcPr>
            <w:tcW w:w="2400" w:type="dxa"/>
            <w:vAlign w:val="bottom"/>
            <w:tcBorders>
              <w:right w:val="single" w:sz="8" w:color="00000A"/>
            </w:tcBorders>
            <w:shd w:val="clear" w:color="auto" w:fill="D9D9D9"/>
          </w:tcPr>
          <w:p>
            <w:pPr>
              <w:spacing w:after="0"/>
              <w:rPr>
                <w:sz w:val="12"/>
                <w:szCs w:val="12"/>
                <w:color w:val="auto"/>
              </w:rPr>
            </w:pPr>
          </w:p>
        </w:tc>
        <w:tc>
          <w:tcPr>
            <w:tcW w:w="1500" w:type="dxa"/>
            <w:vAlign w:val="bottom"/>
            <w:tcBorders>
              <w:right w:val="single" w:sz="8" w:color="00000A"/>
            </w:tcBorders>
            <w:vMerge w:val="continue"/>
            <w:shd w:val="clear" w:color="auto" w:fill="D9D9D9"/>
          </w:tcPr>
          <w:p>
            <w:pPr>
              <w:spacing w:after="0"/>
              <w:rPr>
                <w:sz w:val="12"/>
                <w:szCs w:val="12"/>
                <w:color w:val="auto"/>
              </w:rPr>
            </w:pPr>
          </w:p>
        </w:tc>
        <w:tc>
          <w:tcPr>
            <w:tcW w:w="1480" w:type="dxa"/>
            <w:vAlign w:val="bottom"/>
            <w:tcBorders>
              <w:right w:val="single" w:sz="8" w:color="00000A"/>
            </w:tcBorders>
            <w:vMerge w:val="continue"/>
            <w:shd w:val="clear" w:color="auto" w:fill="D9D9D9"/>
          </w:tcPr>
          <w:p>
            <w:pPr>
              <w:spacing w:after="0"/>
              <w:rPr>
                <w:sz w:val="12"/>
                <w:szCs w:val="12"/>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9"/>
              </w:rPr>
              <w:t>“Independent</w:t>
            </w:r>
          </w:p>
        </w:tc>
        <w:tc>
          <w:tcPr>
            <w:tcW w:w="1700" w:type="dxa"/>
            <w:vAlign w:val="bottom"/>
            <w:tcBorders>
              <w:right w:val="single" w:sz="8" w:color="00000A"/>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vMerge w:val="restart"/>
            <w:shd w:val="clear" w:color="auto" w:fill="D9D9D9"/>
          </w:tcPr>
          <w:p>
            <w:pPr>
              <w:ind w:left="900"/>
              <w:spacing w:after="0"/>
              <w:rPr>
                <w:sz w:val="20"/>
                <w:szCs w:val="20"/>
                <w:color w:val="auto"/>
              </w:rPr>
            </w:pPr>
            <w:r>
              <w:rPr>
                <w:rFonts w:ascii="Arial" w:cs="Arial" w:eastAsia="Arial" w:hAnsi="Arial"/>
                <w:sz w:val="20"/>
                <w:szCs w:val="20"/>
                <w:color w:val="auto"/>
              </w:rPr>
              <w:t>Note Party</w:t>
            </w:r>
          </w:p>
        </w:tc>
        <w:tc>
          <w:tcPr>
            <w:tcW w:w="24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Note Party Subsidiaries</w:t>
            </w:r>
          </w:p>
        </w:tc>
        <w:tc>
          <w:tcPr>
            <w:tcW w:w="15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Subsidiaries</w:t>
            </w:r>
          </w:p>
        </w:tc>
        <w:tc>
          <w:tcPr>
            <w:tcW w:w="148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1"/>
              </w:rPr>
              <w:t>Organization</w:t>
            </w: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2"/>
              </w:rPr>
              <w:t>Officers</w:t>
            </w:r>
          </w:p>
        </w:tc>
        <w:tc>
          <w:tcPr>
            <w:tcW w:w="0" w:type="dxa"/>
            <w:vAlign w:val="bottom"/>
          </w:tcPr>
          <w:p>
            <w:pPr>
              <w:spacing w:after="0"/>
              <w:rPr>
                <w:sz w:val="1"/>
                <w:szCs w:val="1"/>
                <w:color w:val="auto"/>
              </w:rPr>
            </w:pPr>
          </w:p>
        </w:tc>
      </w:tr>
      <w:tr>
        <w:trPr>
          <w:trHeight w:val="169"/>
        </w:trPr>
        <w:tc>
          <w:tcPr>
            <w:tcW w:w="2660" w:type="dxa"/>
            <w:vAlign w:val="bottom"/>
            <w:tcBorders>
              <w:left w:val="single" w:sz="8" w:color="00000A"/>
              <w:right w:val="single" w:sz="8" w:color="00000A"/>
            </w:tcBorders>
            <w:vMerge w:val="continue"/>
            <w:shd w:val="clear" w:color="auto" w:fill="D9D9D9"/>
          </w:tcPr>
          <w:p>
            <w:pPr>
              <w:spacing w:after="0"/>
              <w:rPr>
                <w:sz w:val="14"/>
                <w:szCs w:val="14"/>
                <w:color w:val="auto"/>
              </w:rPr>
            </w:pPr>
          </w:p>
        </w:tc>
        <w:tc>
          <w:tcPr>
            <w:tcW w:w="2400" w:type="dxa"/>
            <w:vAlign w:val="bottom"/>
            <w:tcBorders>
              <w:right w:val="single" w:sz="8" w:color="00000A"/>
            </w:tcBorders>
            <w:vMerge w:val="continue"/>
            <w:shd w:val="clear" w:color="auto" w:fill="D9D9D9"/>
          </w:tcPr>
          <w:p>
            <w:pPr>
              <w:spacing w:after="0"/>
              <w:rPr>
                <w:sz w:val="14"/>
                <w:szCs w:val="14"/>
                <w:color w:val="auto"/>
              </w:rPr>
            </w:pPr>
          </w:p>
        </w:tc>
        <w:tc>
          <w:tcPr>
            <w:tcW w:w="1500" w:type="dxa"/>
            <w:vAlign w:val="bottom"/>
            <w:tcBorders>
              <w:right w:val="single" w:sz="8" w:color="00000A"/>
            </w:tcBorders>
            <w:vMerge w:val="continue"/>
            <w:shd w:val="clear" w:color="auto" w:fill="D9D9D9"/>
          </w:tcPr>
          <w:p>
            <w:pPr>
              <w:spacing w:after="0"/>
              <w:rPr>
                <w:sz w:val="14"/>
                <w:szCs w:val="14"/>
                <w:color w:val="auto"/>
              </w:rPr>
            </w:pPr>
          </w:p>
        </w:tc>
        <w:tc>
          <w:tcPr>
            <w:tcW w:w="1480" w:type="dxa"/>
            <w:vAlign w:val="bottom"/>
            <w:tcBorders>
              <w:right w:val="single" w:sz="8" w:color="00000A"/>
            </w:tcBorders>
            <w:vMerge w:val="continue"/>
            <w:shd w:val="clear" w:color="auto" w:fill="D9D9D9"/>
          </w:tcPr>
          <w:p>
            <w:pPr>
              <w:spacing w:after="0"/>
              <w:rPr>
                <w:sz w:val="14"/>
                <w:szCs w:val="14"/>
                <w:color w:val="auto"/>
              </w:rPr>
            </w:pPr>
          </w:p>
        </w:tc>
        <w:tc>
          <w:tcPr>
            <w:tcW w:w="1700" w:type="dxa"/>
            <w:vAlign w:val="bottom"/>
            <w:tcBorders>
              <w:right w:val="single" w:sz="8" w:color="00000A"/>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8"/>
              </w:rPr>
              <w:t>Director”)</w:t>
            </w:r>
          </w:p>
        </w:tc>
        <w:tc>
          <w:tcPr>
            <w:tcW w:w="1700" w:type="dxa"/>
            <w:vAlign w:val="bottom"/>
            <w:tcBorders>
              <w:right w:val="single" w:sz="8" w:color="00000A"/>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00000A"/>
              <w:right w:val="single" w:sz="8" w:color="00000A"/>
            </w:tcBorders>
            <w:shd w:val="clear" w:color="auto" w:fill="D9D9D9"/>
          </w:tcPr>
          <w:p>
            <w:pPr>
              <w:spacing w:after="0"/>
              <w:rPr>
                <w:sz w:val="7"/>
                <w:szCs w:val="7"/>
                <w:color w:val="auto"/>
              </w:rPr>
            </w:pPr>
          </w:p>
        </w:tc>
        <w:tc>
          <w:tcPr>
            <w:tcW w:w="2400" w:type="dxa"/>
            <w:vAlign w:val="bottom"/>
            <w:tcBorders>
              <w:right w:val="single" w:sz="8" w:color="00000A"/>
            </w:tcBorders>
            <w:shd w:val="clear" w:color="auto" w:fill="D9D9D9"/>
          </w:tcPr>
          <w:p>
            <w:pPr>
              <w:spacing w:after="0"/>
              <w:rPr>
                <w:sz w:val="7"/>
                <w:szCs w:val="7"/>
                <w:color w:val="auto"/>
              </w:rPr>
            </w:pPr>
          </w:p>
        </w:tc>
        <w:tc>
          <w:tcPr>
            <w:tcW w:w="1500" w:type="dxa"/>
            <w:vAlign w:val="bottom"/>
            <w:tcBorders>
              <w:right w:val="single" w:sz="8" w:color="00000A"/>
            </w:tcBorders>
            <w:shd w:val="clear" w:color="auto" w:fill="D9D9D9"/>
          </w:tcPr>
          <w:p>
            <w:pPr>
              <w:spacing w:after="0"/>
              <w:rPr>
                <w:sz w:val="7"/>
                <w:szCs w:val="7"/>
                <w:color w:val="auto"/>
              </w:rPr>
            </w:pPr>
          </w:p>
        </w:tc>
        <w:tc>
          <w:tcPr>
            <w:tcW w:w="1480" w:type="dxa"/>
            <w:vAlign w:val="bottom"/>
            <w:tcBorders>
              <w:right w:val="single" w:sz="8" w:color="00000A"/>
            </w:tcBorders>
            <w:shd w:val="clear" w:color="auto" w:fill="D9D9D9"/>
          </w:tcPr>
          <w:p>
            <w:pPr>
              <w:spacing w:after="0"/>
              <w:rPr>
                <w:sz w:val="7"/>
                <w:szCs w:val="7"/>
                <w:color w:val="auto"/>
              </w:rPr>
            </w:pPr>
          </w:p>
        </w:tc>
        <w:tc>
          <w:tcPr>
            <w:tcW w:w="1700" w:type="dxa"/>
            <w:vAlign w:val="bottom"/>
            <w:tcBorders>
              <w:right w:val="single" w:sz="8" w:color="00000A"/>
            </w:tcBorders>
            <w:vMerge w:val="continue"/>
            <w:shd w:val="clear" w:color="auto" w:fill="D9D9D9"/>
          </w:tcPr>
          <w:p>
            <w:pPr>
              <w:spacing w:after="0"/>
              <w:rPr>
                <w:sz w:val="7"/>
                <w:szCs w:val="7"/>
                <w:color w:val="auto"/>
              </w:rPr>
            </w:pPr>
          </w:p>
        </w:tc>
        <w:tc>
          <w:tcPr>
            <w:tcW w:w="1700" w:type="dxa"/>
            <w:vAlign w:val="bottom"/>
            <w:tcBorders>
              <w:right w:val="single" w:sz="8" w:color="00000A"/>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60" w:type="dxa"/>
            <w:vAlign w:val="bottom"/>
            <w:tcBorders>
              <w:left w:val="single" w:sz="8" w:color="00000A"/>
              <w:bottom w:val="single" w:sz="8" w:color="00000A"/>
              <w:right w:val="single" w:sz="8" w:color="00000A"/>
            </w:tcBorders>
            <w:shd w:val="clear" w:color="auto" w:fill="D9D9D9"/>
          </w:tcPr>
          <w:p>
            <w:pPr>
              <w:spacing w:after="0"/>
              <w:rPr>
                <w:sz w:val="11"/>
                <w:szCs w:val="11"/>
                <w:color w:val="auto"/>
              </w:rPr>
            </w:pPr>
          </w:p>
        </w:tc>
        <w:tc>
          <w:tcPr>
            <w:tcW w:w="2400" w:type="dxa"/>
            <w:vAlign w:val="bottom"/>
            <w:tcBorders>
              <w:bottom w:val="single" w:sz="8" w:color="00000A"/>
              <w:right w:val="single" w:sz="8" w:color="00000A"/>
            </w:tcBorders>
            <w:shd w:val="clear" w:color="auto" w:fill="D9D9D9"/>
          </w:tcPr>
          <w:p>
            <w:pPr>
              <w:spacing w:after="0"/>
              <w:rPr>
                <w:sz w:val="11"/>
                <w:szCs w:val="11"/>
                <w:color w:val="auto"/>
              </w:rPr>
            </w:pPr>
          </w:p>
        </w:tc>
        <w:tc>
          <w:tcPr>
            <w:tcW w:w="1500" w:type="dxa"/>
            <w:vAlign w:val="bottom"/>
            <w:tcBorders>
              <w:bottom w:val="single" w:sz="8" w:color="00000A"/>
              <w:right w:val="single" w:sz="8" w:color="00000A"/>
            </w:tcBorders>
            <w:shd w:val="clear" w:color="auto" w:fill="D9D9D9"/>
          </w:tcPr>
          <w:p>
            <w:pPr>
              <w:spacing w:after="0"/>
              <w:rPr>
                <w:sz w:val="11"/>
                <w:szCs w:val="11"/>
                <w:color w:val="auto"/>
              </w:rPr>
            </w:pPr>
          </w:p>
        </w:tc>
        <w:tc>
          <w:tcPr>
            <w:tcW w:w="148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17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w w:val="88"/>
              </w:rPr>
              <w:t>American Assets Trust,</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Waikele Venture Holdings,</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7"/>
              </w:rPr>
              <w:t>Ernest Rady</w:t>
            </w:r>
          </w:p>
        </w:tc>
        <w:tc>
          <w:tcPr>
            <w:tcW w:w="17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John Chamberlain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15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48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John Chamberlain</w:t>
            </w:r>
          </w:p>
        </w:tc>
        <w:tc>
          <w:tcPr>
            <w:tcW w:w="17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0"/>
              </w:rPr>
              <w:t>Robert Barton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w w:val="86"/>
              </w:rPr>
              <w:t>L.P.</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rPr>
              <w:t>LLC</w:t>
            </w:r>
          </w:p>
        </w:tc>
        <w:tc>
          <w:tcPr>
            <w:tcW w:w="1500" w:type="dxa"/>
            <w:vAlign w:val="bottom"/>
            <w:tcBorders>
              <w:right w:val="single" w:sz="8" w:color="00000A"/>
            </w:tcBorders>
            <w:vMerge w:val="continue"/>
          </w:tcPr>
          <w:p>
            <w:pPr>
              <w:spacing w:after="0"/>
              <w:rPr>
                <w:sz w:val="10"/>
                <w:szCs w:val="10"/>
                <w:color w:val="auto"/>
              </w:rPr>
            </w:pPr>
          </w:p>
        </w:tc>
        <w:tc>
          <w:tcPr>
            <w:tcW w:w="148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Robert Barton</w:t>
            </w: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5"/>
              </w:rPr>
              <w:t>Adam Wyll</w:t>
            </w: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170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660" w:type="dxa"/>
            <w:vAlign w:val="bottom"/>
            <w:tcBorders>
              <w:left w:val="single" w:sz="8" w:color="00000A"/>
              <w:right w:val="single" w:sz="8" w:color="00000A"/>
            </w:tcBorders>
          </w:tcPr>
          <w:p>
            <w:pPr>
              <w:jc w:val="center"/>
              <w:ind w:left="214"/>
              <w:spacing w:after="0" w:line="248" w:lineRule="exact"/>
              <w:rPr>
                <w:sz w:val="20"/>
                <w:szCs w:val="20"/>
                <w:color w:val="auto"/>
              </w:rPr>
            </w:pPr>
            <w:r>
              <w:rPr>
                <w:rFonts w:ascii="Arial" w:cs="Arial" w:eastAsia="Arial" w:hAnsi="Arial"/>
                <w:sz w:val="22"/>
                <w:szCs w:val="22"/>
                <w:color w:val="auto"/>
                <w:w w:val="87"/>
              </w:rPr>
              <w:t>Waikele Venture</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None</w:t>
            </w:r>
          </w:p>
        </w:tc>
        <w:tc>
          <w:tcPr>
            <w:tcW w:w="150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17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left w:val="single" w:sz="8" w:color="00000A"/>
              <w:right w:val="single" w:sz="8" w:color="00000A"/>
            </w:tcBorders>
            <w:vMerge w:val="restart"/>
          </w:tcPr>
          <w:p>
            <w:pPr>
              <w:jc w:val="center"/>
              <w:ind w:left="214"/>
              <w:spacing w:after="0"/>
              <w:rPr>
                <w:sz w:val="20"/>
                <w:szCs w:val="20"/>
                <w:color w:val="auto"/>
              </w:rPr>
            </w:pPr>
            <w:r>
              <w:rPr>
                <w:rFonts w:ascii="Arial" w:cs="Arial" w:eastAsia="Arial" w:hAnsi="Arial"/>
                <w:sz w:val="22"/>
                <w:szCs w:val="22"/>
                <w:color w:val="auto"/>
                <w:w w:val="94"/>
              </w:rPr>
              <w:t>Holdings, LLC</w:t>
            </w:r>
          </w:p>
        </w:tc>
        <w:tc>
          <w:tcPr>
            <w:tcW w:w="2400" w:type="dxa"/>
            <w:vAlign w:val="bottom"/>
            <w:tcBorders>
              <w:right w:val="single" w:sz="8" w:color="00000A"/>
            </w:tcBorders>
            <w:vMerge w:val="continue"/>
          </w:tcPr>
          <w:p>
            <w:pPr>
              <w:spacing w:after="0"/>
              <w:rPr>
                <w:sz w:val="13"/>
                <w:szCs w:val="13"/>
                <w:color w:val="auto"/>
              </w:rPr>
            </w:pPr>
          </w:p>
        </w:tc>
        <w:tc>
          <w:tcPr>
            <w:tcW w:w="1500" w:type="dxa"/>
            <w:vAlign w:val="bottom"/>
            <w:tcBorders>
              <w:right w:val="single" w:sz="8" w:color="00000A"/>
            </w:tcBorders>
          </w:tcPr>
          <w:p>
            <w:pPr>
              <w:spacing w:after="0"/>
              <w:rPr>
                <w:sz w:val="13"/>
                <w:szCs w:val="13"/>
                <w:color w:val="auto"/>
              </w:rPr>
            </w:pPr>
          </w:p>
        </w:tc>
        <w:tc>
          <w:tcPr>
            <w:tcW w:w="148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170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Borders>
              <w:left w:val="single" w:sz="8" w:color="00000A"/>
              <w:bottom w:val="single" w:sz="8" w:color="00000A"/>
              <w:right w:val="single" w:sz="8" w:color="00000A"/>
            </w:tcBorders>
            <w:vMerge w:val="continue"/>
          </w:tcPr>
          <w:p>
            <w:pPr>
              <w:spacing w:after="0"/>
              <w:rPr>
                <w:sz w:val="11"/>
                <w:szCs w:val="11"/>
                <w:color w:val="auto"/>
              </w:rPr>
            </w:pPr>
          </w:p>
        </w:tc>
        <w:tc>
          <w:tcPr>
            <w:tcW w:w="2400" w:type="dxa"/>
            <w:vAlign w:val="bottom"/>
            <w:tcBorders>
              <w:bottom w:val="single" w:sz="8" w:color="00000A"/>
              <w:right w:val="single" w:sz="8" w:color="00000A"/>
            </w:tcBorders>
          </w:tcPr>
          <w:p>
            <w:pPr>
              <w:spacing w:after="0"/>
              <w:rPr>
                <w:sz w:val="11"/>
                <w:szCs w:val="11"/>
                <w:color w:val="auto"/>
              </w:rPr>
            </w:pPr>
          </w:p>
        </w:tc>
        <w:tc>
          <w:tcPr>
            <w:tcW w:w="1500" w:type="dxa"/>
            <w:vAlign w:val="bottom"/>
            <w:tcBorders>
              <w:bottom w:val="single" w:sz="8" w:color="00000A"/>
              <w:right w:val="single" w:sz="8" w:color="00000A"/>
            </w:tcBorders>
          </w:tcPr>
          <w:p>
            <w:pPr>
              <w:spacing w:after="0"/>
              <w:rPr>
                <w:sz w:val="11"/>
                <w:szCs w:val="11"/>
                <w:color w:val="auto"/>
              </w:rPr>
            </w:pPr>
          </w:p>
        </w:tc>
        <w:tc>
          <w:tcPr>
            <w:tcW w:w="148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17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*Upon payoff of Waikele Center mortgage on or about October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line="253" w:lineRule="exact"/>
        <w:rPr>
          <w:sz w:val="20"/>
          <w:szCs w:val="20"/>
          <w:color w:val="auto"/>
        </w:rPr>
      </w:pPr>
      <w:r>
        <w:rPr>
          <w:rFonts w:ascii="Arial" w:cs="Arial" w:eastAsia="Arial" w:hAnsi="Arial"/>
          <w:sz w:val="22"/>
          <w:szCs w:val="22"/>
          <w:color w:val="auto"/>
        </w:rPr>
        <w:t>5.4</w:t>
      </w:r>
      <w:r>
        <w:rPr>
          <w:rFonts w:ascii="MS PGothic" w:cs="MS PGothic" w:eastAsia="MS PGothic" w:hAnsi="MS PGothic"/>
          <w:sz w:val="22"/>
          <w:szCs w:val="22"/>
          <w:color w:val="auto"/>
        </w:rPr>
        <w:t>‑</w:t>
      </w:r>
      <w:r>
        <w:rPr>
          <w:rFonts w:ascii="Arial" w:cs="Arial" w:eastAsia="Arial" w:hAnsi="Arial"/>
          <w:sz w:val="22"/>
          <w:szCs w:val="22"/>
          <w:color w:val="auto"/>
        </w:rPr>
        <w:t>17</w:t>
      </w:r>
    </w:p>
    <w:p>
      <w:pPr>
        <w:sectPr>
          <w:pgSz w:w="11900" w:h="16838" w:orient="portrait"/>
          <w:cols w:equalWidth="0" w:num="1">
            <w:col w:w="11440"/>
          </w:cols>
          <w:pgMar w:left="240" w:top="795" w:right="2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2"/>
          <w:szCs w:val="22"/>
          <w:b w:val="1"/>
          <w:bCs w:val="1"/>
          <w:color w:val="auto"/>
        </w:rPr>
        <w:t>FINANCIAL STATEMENTS</w:t>
      </w:r>
    </w:p>
    <w:p>
      <w:pPr>
        <w:spacing w:after="0" w:line="293" w:lineRule="exact"/>
        <w:rPr>
          <w:sz w:val="20"/>
          <w:szCs w:val="20"/>
          <w:color w:val="auto"/>
        </w:rPr>
      </w:pPr>
    </w:p>
    <w:p>
      <w:pPr>
        <w:spacing w:after="0" w:line="286" w:lineRule="exact"/>
        <w:rPr>
          <w:sz w:val="20"/>
          <w:szCs w:val="20"/>
          <w:color w:val="auto"/>
        </w:rPr>
      </w:pPr>
      <w:r>
        <w:rPr>
          <w:rFonts w:ascii="Arial" w:cs="Arial" w:eastAsia="Arial" w:hAnsi="Arial"/>
          <w:sz w:val="22"/>
          <w:szCs w:val="22"/>
          <w:color w:val="auto"/>
        </w:rPr>
        <w:t xml:space="preserve">Audited financial statements for the fiscal year ended December 31, 2013 for the Company </w:t>
      </w:r>
      <w:r>
        <w:rPr>
          <w:rFonts w:ascii="MS PGothic" w:cs="MS PGothic" w:eastAsia="MS PGothic" w:hAnsi="MS PGothic"/>
          <w:sz w:val="22"/>
          <w:szCs w:val="22"/>
          <w:color w:val="auto"/>
        </w:rPr>
        <w:t>‑</w:t>
      </w:r>
      <w:r>
        <w:rPr>
          <w:rFonts w:ascii="Arial" w:cs="Arial" w:eastAsia="Arial" w:hAnsi="Arial"/>
          <w:sz w:val="22"/>
          <w:szCs w:val="22"/>
          <w:color w:val="auto"/>
        </w:rPr>
        <w:t xml:space="preserve"> filed in the Company’s Annual Report on Form 10-K for the year ended December 31, 2013</w:t>
      </w:r>
    </w:p>
    <w:p>
      <w:pPr>
        <w:spacing w:after="0" w:line="266" w:lineRule="exact"/>
        <w:rPr>
          <w:sz w:val="20"/>
          <w:szCs w:val="20"/>
          <w:color w:val="auto"/>
        </w:rPr>
      </w:pPr>
    </w:p>
    <w:p>
      <w:pPr>
        <w:spacing w:after="0" w:line="286" w:lineRule="exact"/>
        <w:rPr>
          <w:sz w:val="20"/>
          <w:szCs w:val="20"/>
          <w:color w:val="auto"/>
        </w:rPr>
      </w:pPr>
      <w:r>
        <w:rPr>
          <w:rFonts w:ascii="Arial" w:cs="Arial" w:eastAsia="Arial" w:hAnsi="Arial"/>
          <w:sz w:val="22"/>
          <w:szCs w:val="22"/>
          <w:color w:val="auto"/>
        </w:rPr>
        <w:t xml:space="preserve">Audited financial statements for the fiscal year ended December 31, 2012 for the Company </w:t>
      </w:r>
      <w:r>
        <w:rPr>
          <w:rFonts w:ascii="MS PGothic" w:cs="MS PGothic" w:eastAsia="MS PGothic" w:hAnsi="MS PGothic"/>
          <w:sz w:val="22"/>
          <w:szCs w:val="22"/>
          <w:color w:val="auto"/>
        </w:rPr>
        <w:t>‑</w:t>
      </w:r>
      <w:r>
        <w:rPr>
          <w:rFonts w:ascii="Arial" w:cs="Arial" w:eastAsia="Arial" w:hAnsi="Arial"/>
          <w:sz w:val="22"/>
          <w:szCs w:val="22"/>
          <w:color w:val="auto"/>
        </w:rPr>
        <w:t xml:space="preserve"> filed in the Company’s Annual Report on Form 10-K for the year ended December 31, 2012</w:t>
      </w:r>
    </w:p>
    <w:p>
      <w:pPr>
        <w:spacing w:after="0" w:line="266" w:lineRule="exact"/>
        <w:rPr>
          <w:sz w:val="20"/>
          <w:szCs w:val="20"/>
          <w:color w:val="auto"/>
        </w:rPr>
      </w:pPr>
    </w:p>
    <w:p>
      <w:pPr>
        <w:spacing w:after="0" w:line="286" w:lineRule="exact"/>
        <w:rPr>
          <w:sz w:val="20"/>
          <w:szCs w:val="20"/>
          <w:color w:val="auto"/>
        </w:rPr>
      </w:pPr>
      <w:r>
        <w:rPr>
          <w:rFonts w:ascii="Arial" w:cs="Arial" w:eastAsia="Arial" w:hAnsi="Arial"/>
          <w:sz w:val="22"/>
          <w:szCs w:val="22"/>
          <w:color w:val="auto"/>
        </w:rPr>
        <w:t>Audited financial statements for the fiscal year ended December 31, 2011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Annual Report on Form 10-K for the year ended December 31, 2011</w:t>
      </w:r>
    </w:p>
    <w:p>
      <w:pPr>
        <w:spacing w:after="0" w:line="266" w:lineRule="exact"/>
        <w:rPr>
          <w:sz w:val="20"/>
          <w:szCs w:val="20"/>
          <w:color w:val="auto"/>
        </w:rPr>
      </w:pPr>
    </w:p>
    <w:p>
      <w:pPr>
        <w:spacing w:after="0" w:line="286" w:lineRule="exact"/>
        <w:rPr>
          <w:sz w:val="20"/>
          <w:szCs w:val="20"/>
          <w:color w:val="auto"/>
        </w:rPr>
      </w:pPr>
      <w:r>
        <w:rPr>
          <w:rFonts w:ascii="Arial" w:cs="Arial" w:eastAsia="Arial" w:hAnsi="Arial"/>
          <w:sz w:val="22"/>
          <w:szCs w:val="22"/>
          <w:color w:val="auto"/>
        </w:rPr>
        <w:t>Audited financial statements for the fiscal year ended December 31, 2010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Annual Report on Form 10-K for the year ended December 31, 2010</w:t>
      </w:r>
    </w:p>
    <w:p>
      <w:pPr>
        <w:spacing w:after="0" w:line="266" w:lineRule="exact"/>
        <w:rPr>
          <w:sz w:val="20"/>
          <w:szCs w:val="20"/>
          <w:color w:val="auto"/>
        </w:rPr>
      </w:pPr>
    </w:p>
    <w:p>
      <w:pPr>
        <w:ind w:right="20"/>
        <w:spacing w:after="0" w:line="286" w:lineRule="exact"/>
        <w:rPr>
          <w:sz w:val="20"/>
          <w:szCs w:val="20"/>
          <w:color w:val="auto"/>
        </w:rPr>
      </w:pPr>
      <w:r>
        <w:rPr>
          <w:rFonts w:ascii="Arial" w:cs="Arial" w:eastAsia="Arial" w:hAnsi="Arial"/>
          <w:sz w:val="22"/>
          <w:szCs w:val="22"/>
          <w:color w:val="auto"/>
        </w:rPr>
        <w:t>Unaudited quarterly financial statements for the quarter ended June 30, 2014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Quarterly Report on Form 10-Q for the quarter ended June 30, 2014</w:t>
      </w:r>
    </w:p>
    <w:p>
      <w:pPr>
        <w:spacing w:after="0" w:line="266" w:lineRule="exact"/>
        <w:rPr>
          <w:sz w:val="20"/>
          <w:szCs w:val="20"/>
          <w:color w:val="auto"/>
        </w:rPr>
      </w:pPr>
    </w:p>
    <w:p>
      <w:pPr>
        <w:spacing w:after="0" w:line="286" w:lineRule="exact"/>
        <w:rPr>
          <w:sz w:val="20"/>
          <w:szCs w:val="20"/>
          <w:color w:val="auto"/>
        </w:rPr>
      </w:pPr>
      <w:r>
        <w:rPr>
          <w:rFonts w:ascii="Arial" w:cs="Arial" w:eastAsia="Arial" w:hAnsi="Arial"/>
          <w:sz w:val="22"/>
          <w:szCs w:val="22"/>
          <w:color w:val="auto"/>
        </w:rPr>
        <w:t>Unaudited quarterly financial statements for the quarter ended March 31, 2014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Quarterly Report on Form 10-Q for the quarter ended March 31, 2014</w:t>
      </w:r>
    </w:p>
    <w:p>
      <w:pPr>
        <w:spacing w:after="0" w:line="266" w:lineRule="exact"/>
        <w:rPr>
          <w:sz w:val="20"/>
          <w:szCs w:val="20"/>
          <w:color w:val="auto"/>
        </w:rPr>
      </w:pPr>
    </w:p>
    <w:p>
      <w:pPr>
        <w:spacing w:after="0" w:line="286" w:lineRule="exact"/>
        <w:rPr>
          <w:sz w:val="20"/>
          <w:szCs w:val="20"/>
          <w:color w:val="auto"/>
        </w:rPr>
      </w:pPr>
      <w:r>
        <w:rPr>
          <w:rFonts w:ascii="Arial" w:cs="Arial" w:eastAsia="Arial" w:hAnsi="Arial"/>
          <w:sz w:val="22"/>
          <w:szCs w:val="22"/>
          <w:color w:val="auto"/>
        </w:rPr>
        <w:t>Unaudited quarterly financial statements for the quarter ended September 30, 2013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Quarterly Report on Form 10-Q for the quarter ended September 30, 2013</w:t>
      </w:r>
    </w:p>
    <w:p>
      <w:pPr>
        <w:spacing w:after="0" w:line="266" w:lineRule="exact"/>
        <w:rPr>
          <w:sz w:val="20"/>
          <w:szCs w:val="20"/>
          <w:color w:val="auto"/>
        </w:rPr>
      </w:pPr>
    </w:p>
    <w:p>
      <w:pPr>
        <w:ind w:right="20"/>
        <w:spacing w:after="0" w:line="286" w:lineRule="exact"/>
        <w:rPr>
          <w:sz w:val="20"/>
          <w:szCs w:val="20"/>
          <w:color w:val="auto"/>
        </w:rPr>
      </w:pPr>
      <w:r>
        <w:rPr>
          <w:rFonts w:ascii="Arial" w:cs="Arial" w:eastAsia="Arial" w:hAnsi="Arial"/>
          <w:sz w:val="22"/>
          <w:szCs w:val="22"/>
          <w:color w:val="auto"/>
        </w:rPr>
        <w:t>Unaudited quarterly financial statements for the quarter ended June 30, 2013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Quarterly Report on Form 10-Q for the quarter ended June 30, 2013</w:t>
      </w:r>
    </w:p>
    <w:p>
      <w:pPr>
        <w:spacing w:after="0" w:line="266" w:lineRule="exact"/>
        <w:rPr>
          <w:sz w:val="20"/>
          <w:szCs w:val="20"/>
          <w:color w:val="auto"/>
        </w:rPr>
      </w:pPr>
    </w:p>
    <w:p>
      <w:pPr>
        <w:spacing w:after="0" w:line="286" w:lineRule="exact"/>
        <w:rPr>
          <w:sz w:val="20"/>
          <w:szCs w:val="20"/>
          <w:color w:val="auto"/>
        </w:rPr>
      </w:pPr>
      <w:r>
        <w:rPr>
          <w:rFonts w:ascii="Arial" w:cs="Arial" w:eastAsia="Arial" w:hAnsi="Arial"/>
          <w:sz w:val="22"/>
          <w:szCs w:val="22"/>
          <w:color w:val="auto"/>
        </w:rPr>
        <w:t>Unaudited quarterly financial statements for the quarter ended March 31, 2013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Quarterly Report on Form 10-Q for the quarter ended March 31, 2013</w:t>
      </w:r>
    </w:p>
    <w:p>
      <w:pPr>
        <w:spacing w:after="0" w:line="266" w:lineRule="exact"/>
        <w:rPr>
          <w:sz w:val="20"/>
          <w:szCs w:val="20"/>
          <w:color w:val="auto"/>
        </w:rPr>
      </w:pPr>
    </w:p>
    <w:p>
      <w:pPr>
        <w:spacing w:after="0" w:line="286" w:lineRule="exact"/>
        <w:rPr>
          <w:sz w:val="20"/>
          <w:szCs w:val="20"/>
          <w:color w:val="auto"/>
        </w:rPr>
      </w:pPr>
      <w:r>
        <w:rPr>
          <w:rFonts w:ascii="Arial" w:cs="Arial" w:eastAsia="Arial" w:hAnsi="Arial"/>
          <w:sz w:val="22"/>
          <w:szCs w:val="22"/>
          <w:color w:val="auto"/>
        </w:rPr>
        <w:t>Unaudited quarterly financial statements for the quarter ended September 30, 2012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Quarterly Report on Form 10-Q for the quarter ended September 30, 2012</w:t>
      </w:r>
    </w:p>
    <w:p>
      <w:pPr>
        <w:spacing w:after="0" w:line="266" w:lineRule="exact"/>
        <w:rPr>
          <w:sz w:val="20"/>
          <w:szCs w:val="20"/>
          <w:color w:val="auto"/>
        </w:rPr>
      </w:pPr>
    </w:p>
    <w:p>
      <w:pPr>
        <w:ind w:right="20"/>
        <w:spacing w:after="0" w:line="286" w:lineRule="exact"/>
        <w:rPr>
          <w:sz w:val="20"/>
          <w:szCs w:val="20"/>
          <w:color w:val="auto"/>
        </w:rPr>
      </w:pPr>
      <w:r>
        <w:rPr>
          <w:rFonts w:ascii="Arial" w:cs="Arial" w:eastAsia="Arial" w:hAnsi="Arial"/>
          <w:sz w:val="22"/>
          <w:szCs w:val="22"/>
          <w:color w:val="auto"/>
        </w:rPr>
        <w:t>Unaudited quarterly financial statements for the quarter ended June 30, 2012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Quarterly Report on Form 10-Q for the quarter ended June 30, 2012</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SCHEDULE 5.5</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420"/>
          </w:cols>
          <w:pgMar w:left="240" w:top="679" w:right="239" w:bottom="1440" w:gutter="0" w:footer="0" w:header="0"/>
        </w:sectPr>
      </w:pPr>
    </w:p>
    <w:bookmarkStart w:id="146" w:name="page147"/>
    <w:bookmarkEnd w:id="146"/>
    <w:p>
      <w:pPr>
        <w:spacing w:after="0" w:line="286" w:lineRule="exact"/>
        <w:rPr>
          <w:sz w:val="20"/>
          <w:szCs w:val="20"/>
          <w:color w:val="auto"/>
        </w:rPr>
      </w:pPr>
      <w:r>
        <w:rPr>
          <w:rFonts w:ascii="Arial" w:cs="Arial" w:eastAsia="Arial" w:hAnsi="Arial"/>
          <w:sz w:val="22"/>
          <w:szCs w:val="22"/>
          <w:color w:val="auto"/>
        </w:rPr>
        <w:t>Unaudited quarterly financial statements for the quarter ended March 31, 2012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Quarterly Report on Form 10-Q for the quarter ended March 31, 2012</w:t>
      </w:r>
    </w:p>
    <w:p>
      <w:pPr>
        <w:spacing w:after="0" w:line="266" w:lineRule="exact"/>
        <w:rPr>
          <w:sz w:val="20"/>
          <w:szCs w:val="20"/>
          <w:color w:val="auto"/>
        </w:rPr>
      </w:pPr>
    </w:p>
    <w:p>
      <w:pPr>
        <w:spacing w:after="0" w:line="286" w:lineRule="exact"/>
        <w:rPr>
          <w:sz w:val="20"/>
          <w:szCs w:val="20"/>
          <w:color w:val="auto"/>
        </w:rPr>
      </w:pPr>
      <w:r>
        <w:rPr>
          <w:rFonts w:ascii="Arial" w:cs="Arial" w:eastAsia="Arial" w:hAnsi="Arial"/>
          <w:sz w:val="22"/>
          <w:szCs w:val="22"/>
          <w:color w:val="auto"/>
        </w:rPr>
        <w:t>Unaudited quarterly financial statements for the quarter ended September 30, 2011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Quarterly Report on Form 10-Q for the quarter ended September 30, 2011</w:t>
      </w:r>
    </w:p>
    <w:p>
      <w:pPr>
        <w:spacing w:after="0" w:line="266" w:lineRule="exact"/>
        <w:rPr>
          <w:sz w:val="20"/>
          <w:szCs w:val="20"/>
          <w:color w:val="auto"/>
        </w:rPr>
      </w:pPr>
    </w:p>
    <w:p>
      <w:pPr>
        <w:spacing w:after="0" w:line="286" w:lineRule="exact"/>
        <w:rPr>
          <w:sz w:val="20"/>
          <w:szCs w:val="20"/>
          <w:color w:val="auto"/>
        </w:rPr>
      </w:pPr>
      <w:r>
        <w:rPr>
          <w:rFonts w:ascii="Arial" w:cs="Arial" w:eastAsia="Arial" w:hAnsi="Arial"/>
          <w:sz w:val="22"/>
          <w:szCs w:val="22"/>
          <w:color w:val="auto"/>
        </w:rPr>
        <w:t>Unaudited quarterly financial statements for the quarter ended June 30, 2011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Quarterly Report on Form 10-Q for the quarter ended June 30, 2011</w:t>
      </w:r>
    </w:p>
    <w:p>
      <w:pPr>
        <w:spacing w:after="0" w:line="266" w:lineRule="exact"/>
        <w:rPr>
          <w:sz w:val="20"/>
          <w:szCs w:val="20"/>
          <w:color w:val="auto"/>
        </w:rPr>
      </w:pPr>
    </w:p>
    <w:p>
      <w:pPr>
        <w:ind w:right="20"/>
        <w:spacing w:after="0" w:line="286" w:lineRule="exact"/>
        <w:rPr>
          <w:sz w:val="20"/>
          <w:szCs w:val="20"/>
          <w:color w:val="auto"/>
        </w:rPr>
      </w:pPr>
      <w:r>
        <w:rPr>
          <w:rFonts w:ascii="Arial" w:cs="Arial" w:eastAsia="Arial" w:hAnsi="Arial"/>
          <w:sz w:val="22"/>
          <w:szCs w:val="22"/>
          <w:color w:val="auto"/>
        </w:rPr>
        <w:t>Unaudited quarterly financial statements for the quarter ended March 31, 2011 for the Company</w:t>
      </w:r>
      <w:r>
        <w:rPr>
          <w:rFonts w:ascii="MS PGothic" w:cs="MS PGothic" w:eastAsia="MS PGothic" w:hAnsi="MS PGothic"/>
          <w:sz w:val="22"/>
          <w:szCs w:val="22"/>
          <w:color w:val="auto"/>
        </w:rPr>
        <w:t>‑</w:t>
      </w:r>
      <w:r>
        <w:rPr>
          <w:rFonts w:ascii="Arial" w:cs="Arial" w:eastAsia="Arial" w:hAnsi="Arial"/>
          <w:sz w:val="22"/>
          <w:szCs w:val="22"/>
          <w:color w:val="auto"/>
        </w:rPr>
        <w:t>filed in the Company’s Quarterly Report on Form 10-Q for the quarter ended March 31,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line="253" w:lineRule="exact"/>
        <w:rPr>
          <w:sz w:val="20"/>
          <w:szCs w:val="20"/>
          <w:color w:val="auto"/>
        </w:rPr>
      </w:pPr>
      <w:r>
        <w:rPr>
          <w:rFonts w:ascii="Arial" w:cs="Arial" w:eastAsia="Arial" w:hAnsi="Arial"/>
          <w:sz w:val="22"/>
          <w:szCs w:val="22"/>
          <w:color w:val="auto"/>
        </w:rPr>
        <w:t>5.5</w:t>
      </w:r>
      <w:r>
        <w:rPr>
          <w:rFonts w:ascii="MS PGothic" w:cs="MS PGothic" w:eastAsia="MS PGothic" w:hAnsi="MS PGothic"/>
          <w:sz w:val="22"/>
          <w:szCs w:val="22"/>
          <w:color w:val="auto"/>
        </w:rPr>
        <w:t>‑</w:t>
      </w:r>
      <w:r>
        <w:rPr>
          <w:rFonts w:ascii="Arial" w:cs="Arial" w:eastAsia="Arial" w:hAnsi="Arial"/>
          <w:sz w:val="22"/>
          <w:szCs w:val="22"/>
          <w:color w:val="auto"/>
        </w:rPr>
        <w:t>2</w:t>
      </w:r>
    </w:p>
    <w:p>
      <w:pPr>
        <w:sectPr>
          <w:pgSz w:w="11900" w:h="16838" w:orient="portrait"/>
          <w:cols w:equalWidth="0" w:num="1">
            <w:col w:w="11420"/>
          </w:cols>
          <w:pgMar w:left="240" w:top="928" w:right="23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b w:val="1"/>
          <w:bCs w:val="1"/>
          <w:color w:val="auto"/>
        </w:rPr>
        <w:t>(AMOUNTS IN THOUSANDS)</w:t>
      </w:r>
    </w:p>
    <w:p>
      <w:pPr>
        <w:spacing w:after="0" w:line="3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EXISTING INDEBTEDNESS</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7"/>
              </w:rPr>
              <w:t>OBLIGOR</w:t>
            </w:r>
          </w:p>
        </w:tc>
        <w:tc>
          <w:tcPr>
            <w:tcW w:w="2400" w:type="dxa"/>
            <w:vAlign w:val="bottom"/>
          </w:tcPr>
          <w:p>
            <w:pPr>
              <w:jc w:val="center"/>
              <w:spacing w:after="0"/>
              <w:rPr>
                <w:sz w:val="20"/>
                <w:szCs w:val="20"/>
                <w:color w:val="auto"/>
              </w:rPr>
            </w:pPr>
            <w:r>
              <w:rPr>
                <w:rFonts w:ascii="Arial" w:cs="Arial" w:eastAsia="Arial" w:hAnsi="Arial"/>
                <w:sz w:val="18"/>
                <w:szCs w:val="18"/>
                <w:color w:val="auto"/>
                <w:w w:val="96"/>
              </w:rPr>
              <w:t>OBLIGEE/SERVICER/AGENT</w:t>
            </w: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COLLATERAL</w:t>
            </w:r>
          </w:p>
        </w:tc>
        <w:tc>
          <w:tcPr>
            <w:tcW w:w="1440" w:type="dxa"/>
            <w:vAlign w:val="bottom"/>
          </w:tcPr>
          <w:p>
            <w:pPr>
              <w:jc w:val="center"/>
              <w:spacing w:after="0"/>
              <w:rPr>
                <w:sz w:val="20"/>
                <w:szCs w:val="20"/>
                <w:color w:val="auto"/>
              </w:rPr>
            </w:pPr>
            <w:r>
              <w:rPr>
                <w:rFonts w:ascii="Arial" w:cs="Arial" w:eastAsia="Arial" w:hAnsi="Arial"/>
                <w:sz w:val="18"/>
                <w:szCs w:val="18"/>
                <w:color w:val="auto"/>
              </w:rPr>
              <w:t>AMOUNT</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INTEREST</w:t>
            </w:r>
          </w:p>
        </w:tc>
        <w:tc>
          <w:tcPr>
            <w:tcW w:w="1580" w:type="dxa"/>
            <w:vAlign w:val="bottom"/>
          </w:tcPr>
          <w:p>
            <w:pPr>
              <w:ind w:left="140"/>
              <w:spacing w:after="0"/>
              <w:rPr>
                <w:sz w:val="20"/>
                <w:szCs w:val="20"/>
                <w:color w:val="auto"/>
              </w:rPr>
            </w:pPr>
            <w:r>
              <w:rPr>
                <w:rFonts w:ascii="Arial" w:cs="Arial" w:eastAsia="Arial" w:hAnsi="Arial"/>
                <w:sz w:val="18"/>
                <w:szCs w:val="18"/>
                <w:color w:val="auto"/>
                <w:w w:val="97"/>
              </w:rPr>
              <w:t>MATURITY DATE</w:t>
            </w:r>
          </w:p>
        </w:tc>
      </w:tr>
      <w:tr>
        <w:trPr>
          <w:trHeight w:val="216"/>
        </w:trPr>
        <w:tc>
          <w:tcPr>
            <w:tcW w:w="2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OUTSTANDING</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RATE ON</w:t>
            </w:r>
          </w:p>
        </w:tc>
        <w:tc>
          <w:tcPr>
            <w:tcW w:w="158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AT 9/30/2014</w:t>
            </w:r>
          </w:p>
        </w:tc>
        <w:tc>
          <w:tcPr>
            <w:tcW w:w="1080" w:type="dxa"/>
            <w:vAlign w:val="bottom"/>
          </w:tcPr>
          <w:p>
            <w:pPr>
              <w:jc w:val="center"/>
              <w:spacing w:after="0"/>
              <w:rPr>
                <w:sz w:val="20"/>
                <w:szCs w:val="20"/>
                <w:color w:val="auto"/>
              </w:rPr>
            </w:pPr>
            <w:r>
              <w:rPr>
                <w:rFonts w:ascii="Arial" w:cs="Arial" w:eastAsia="Arial" w:hAnsi="Arial"/>
                <w:sz w:val="18"/>
                <w:szCs w:val="18"/>
                <w:color w:val="auto"/>
              </w:rPr>
              <w:t>LOAN</w:t>
            </w:r>
          </w:p>
        </w:tc>
        <w:tc>
          <w:tcPr>
            <w:tcW w:w="1580" w:type="dxa"/>
            <w:vAlign w:val="bottom"/>
          </w:tcPr>
          <w:p>
            <w:pPr>
              <w:spacing w:after="0"/>
              <w:rPr>
                <w:sz w:val="20"/>
                <w:szCs w:val="20"/>
                <w:color w:val="auto"/>
              </w:rPr>
            </w:pP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92"/>
              </w:rPr>
              <w:t>Waikele Reserve Holdings, LLC;</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Wells Fargo</w:t>
            </w: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Waikele Center</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140,700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5.15%</w:t>
            </w:r>
          </w:p>
        </w:tc>
        <w:tc>
          <w:tcPr>
            <w:tcW w:w="1580" w:type="dxa"/>
            <w:vAlign w:val="bottom"/>
          </w:tcPr>
          <w:p>
            <w:pPr>
              <w:ind w:left="100"/>
              <w:spacing w:after="0"/>
              <w:rPr>
                <w:sz w:val="20"/>
                <w:szCs w:val="20"/>
                <w:color w:val="auto"/>
              </w:rPr>
            </w:pPr>
            <w:r>
              <w:rPr>
                <w:rFonts w:ascii="Arial" w:cs="Arial" w:eastAsia="Arial" w:hAnsi="Arial"/>
                <w:sz w:val="18"/>
                <w:szCs w:val="18"/>
                <w:color w:val="auto"/>
              </w:rPr>
              <w:t>November 1,</w:t>
            </w: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1"/>
              </w:rPr>
              <w:t>Waikele 101 Stonecrest, LLC;</w:t>
            </w:r>
          </w:p>
        </w:tc>
        <w:tc>
          <w:tcPr>
            <w:tcW w:w="2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ind w:left="100"/>
              <w:spacing w:after="0"/>
              <w:rPr>
                <w:sz w:val="20"/>
                <w:szCs w:val="20"/>
                <w:color w:val="auto"/>
              </w:rPr>
            </w:pPr>
            <w:r>
              <w:rPr>
                <w:rFonts w:ascii="Arial" w:cs="Arial" w:eastAsia="Arial" w:hAnsi="Arial"/>
                <w:sz w:val="18"/>
                <w:szCs w:val="18"/>
                <w:color w:val="auto"/>
              </w:rPr>
              <w:t>2014(2)</w:t>
            </w: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2"/>
              </w:rPr>
              <w:t>Waikele 101 Sorrento, LLC; and</w:t>
            </w:r>
          </w:p>
        </w:tc>
        <w:tc>
          <w:tcPr>
            <w:tcW w:w="2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0"/>
              </w:rPr>
              <w:t>Waikele 225 Stonecrest, LLC</w:t>
            </w:r>
          </w:p>
        </w:tc>
        <w:tc>
          <w:tcPr>
            <w:tcW w:w="2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92"/>
              </w:rPr>
              <w:t>Waikele 225 Sorrento, LLC</w:t>
            </w:r>
          </w:p>
        </w:tc>
        <w:tc>
          <w:tcPr>
            <w:tcW w:w="2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2480" w:type="dxa"/>
            <w:vAlign w:val="bottom"/>
          </w:tcPr>
          <w:p>
            <w:pPr>
              <w:jc w:val="center"/>
              <w:spacing w:after="0"/>
              <w:rPr>
                <w:sz w:val="20"/>
                <w:szCs w:val="20"/>
                <w:color w:val="auto"/>
              </w:rPr>
            </w:pPr>
            <w:r>
              <w:rPr>
                <w:rFonts w:ascii="Arial" w:cs="Arial" w:eastAsia="Arial" w:hAnsi="Arial"/>
                <w:sz w:val="18"/>
                <w:szCs w:val="18"/>
                <w:color w:val="auto"/>
                <w:w w:val="96"/>
              </w:rPr>
              <w:t>Pacific Waikiki Holdings, LLC</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Wells Fargo</w:t>
            </w: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The Shops at Kalakaua</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19,000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5.45%</w:t>
            </w:r>
          </w:p>
        </w:tc>
        <w:tc>
          <w:tcPr>
            <w:tcW w:w="1580" w:type="dxa"/>
            <w:vAlign w:val="bottom"/>
          </w:tcPr>
          <w:p>
            <w:pPr>
              <w:ind w:left="100"/>
              <w:spacing w:after="0"/>
              <w:rPr>
                <w:sz w:val="20"/>
                <w:szCs w:val="20"/>
                <w:color w:val="auto"/>
              </w:rPr>
            </w:pPr>
            <w:r>
              <w:rPr>
                <w:rFonts w:ascii="Arial" w:cs="Arial" w:eastAsia="Arial" w:hAnsi="Arial"/>
                <w:sz w:val="18"/>
                <w:szCs w:val="18"/>
                <w:color w:val="auto"/>
              </w:rPr>
              <w:t>May 1, 2015</w:t>
            </w: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96"/>
              </w:rPr>
              <w:t>Landmark Firehill Holdings, LLC</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Wells Fargo</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The Landmark at One Market</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133,000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5.61%</w:t>
            </w:r>
          </w:p>
        </w:tc>
        <w:tc>
          <w:tcPr>
            <w:tcW w:w="1580" w:type="dxa"/>
            <w:vAlign w:val="bottom"/>
          </w:tcPr>
          <w:p>
            <w:pPr>
              <w:ind w:left="100"/>
              <w:spacing w:after="0"/>
              <w:rPr>
                <w:sz w:val="20"/>
                <w:szCs w:val="20"/>
                <w:color w:val="auto"/>
              </w:rPr>
            </w:pPr>
            <w:r>
              <w:rPr>
                <w:rFonts w:ascii="Arial" w:cs="Arial" w:eastAsia="Arial" w:hAnsi="Arial"/>
                <w:sz w:val="18"/>
                <w:szCs w:val="18"/>
                <w:color w:val="auto"/>
              </w:rPr>
              <w:t>July 5, 2015</w:t>
            </w: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1"/>
              </w:rPr>
              <w:t>and Landmark Venture Holdings,</w:t>
            </w:r>
          </w:p>
        </w:tc>
        <w:tc>
          <w:tcPr>
            <w:tcW w:w="2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rPr>
              <w:t>LLC</w:t>
            </w:r>
          </w:p>
        </w:tc>
        <w:tc>
          <w:tcPr>
            <w:tcW w:w="2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96"/>
              </w:rPr>
              <w:t>Del Monte - DMCH,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Berkadia</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Del Monte Center</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82,300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4.93%</w:t>
            </w:r>
          </w:p>
        </w:tc>
        <w:tc>
          <w:tcPr>
            <w:tcW w:w="1580" w:type="dxa"/>
            <w:vAlign w:val="bottom"/>
          </w:tcPr>
          <w:p>
            <w:pPr>
              <w:ind w:left="100"/>
              <w:spacing w:after="0"/>
              <w:rPr>
                <w:sz w:val="20"/>
                <w:szCs w:val="20"/>
                <w:color w:val="auto"/>
              </w:rPr>
            </w:pPr>
            <w:r>
              <w:rPr>
                <w:rFonts w:ascii="Arial" w:cs="Arial" w:eastAsia="Arial" w:hAnsi="Arial"/>
                <w:sz w:val="18"/>
                <w:szCs w:val="18"/>
                <w:color w:val="auto"/>
              </w:rPr>
              <w:t>July 8, 2015</w:t>
            </w: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5"/>
              </w:rPr>
              <w:t>Del Monte - DMSJH, LLC;</w:t>
            </w:r>
          </w:p>
        </w:tc>
        <w:tc>
          <w:tcPr>
            <w:tcW w:w="2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6"/>
              </w:rPr>
              <w:t>Del Monte - KMBC, LLC; and</w:t>
            </w:r>
          </w:p>
        </w:tc>
        <w:tc>
          <w:tcPr>
            <w:tcW w:w="2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94"/>
              </w:rPr>
              <w:t>Del Monte - POH, LLC</w:t>
            </w:r>
          </w:p>
        </w:tc>
        <w:tc>
          <w:tcPr>
            <w:tcW w:w="2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2480" w:type="dxa"/>
            <w:vAlign w:val="bottom"/>
          </w:tcPr>
          <w:p>
            <w:pPr>
              <w:jc w:val="center"/>
              <w:spacing w:after="0"/>
              <w:rPr>
                <w:sz w:val="20"/>
                <w:szCs w:val="20"/>
                <w:color w:val="auto"/>
              </w:rPr>
            </w:pPr>
            <w:r>
              <w:rPr>
                <w:rFonts w:ascii="Arial" w:cs="Arial" w:eastAsia="Arial" w:hAnsi="Arial"/>
                <w:sz w:val="18"/>
                <w:szCs w:val="18"/>
                <w:color w:val="auto"/>
                <w:w w:val="96"/>
              </w:rPr>
              <w:t>AAT Oregon Office I, LLC</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PNC</w:t>
            </w:r>
          </w:p>
        </w:tc>
        <w:tc>
          <w:tcPr>
            <w:tcW w:w="2340" w:type="dxa"/>
            <w:vAlign w:val="bottom"/>
          </w:tcPr>
          <w:p>
            <w:pPr>
              <w:jc w:val="center"/>
              <w:spacing w:after="0"/>
              <w:rPr>
                <w:sz w:val="20"/>
                <w:szCs w:val="20"/>
                <w:color w:val="auto"/>
              </w:rPr>
            </w:pPr>
            <w:r>
              <w:rPr>
                <w:rFonts w:ascii="Arial" w:cs="Arial" w:eastAsia="Arial" w:hAnsi="Arial"/>
                <w:sz w:val="18"/>
                <w:szCs w:val="18"/>
                <w:color w:val="auto"/>
                <w:w w:val="97"/>
              </w:rPr>
              <w:t>First &amp; Main</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84,500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3.97%</w:t>
            </w:r>
          </w:p>
        </w:tc>
        <w:tc>
          <w:tcPr>
            <w:tcW w:w="1580" w:type="dxa"/>
            <w:vAlign w:val="bottom"/>
          </w:tcPr>
          <w:p>
            <w:pPr>
              <w:ind w:left="100"/>
              <w:spacing w:after="0"/>
              <w:rPr>
                <w:sz w:val="20"/>
                <w:szCs w:val="20"/>
                <w:color w:val="auto"/>
              </w:rPr>
            </w:pPr>
            <w:r>
              <w:rPr>
                <w:rFonts w:ascii="Arial" w:cs="Arial" w:eastAsia="Arial" w:hAnsi="Arial"/>
                <w:sz w:val="18"/>
                <w:szCs w:val="18"/>
                <w:color w:val="auto"/>
              </w:rPr>
              <w:t>July 1, 2016</w:t>
            </w:r>
          </w:p>
        </w:tc>
      </w:tr>
      <w:tr>
        <w:trPr>
          <w:trHeight w:val="270"/>
        </w:trPr>
        <w:tc>
          <w:tcPr>
            <w:tcW w:w="2480" w:type="dxa"/>
            <w:vAlign w:val="bottom"/>
          </w:tcPr>
          <w:p>
            <w:pPr>
              <w:jc w:val="center"/>
              <w:spacing w:after="0"/>
              <w:rPr>
                <w:sz w:val="20"/>
                <w:szCs w:val="20"/>
                <w:color w:val="auto"/>
              </w:rPr>
            </w:pPr>
            <w:r>
              <w:rPr>
                <w:rFonts w:ascii="Arial" w:cs="Arial" w:eastAsia="Arial" w:hAnsi="Arial"/>
                <w:sz w:val="18"/>
                <w:szCs w:val="18"/>
                <w:color w:val="auto"/>
                <w:w w:val="94"/>
              </w:rPr>
              <w:t>Imperial Strand Holdings,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Berkadia</w:t>
            </w: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Imperial Beach Gardens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6.16%</w:t>
            </w:r>
          </w:p>
        </w:tc>
        <w:tc>
          <w:tcPr>
            <w:tcW w:w="1580" w:type="dxa"/>
            <w:vAlign w:val="bottom"/>
          </w:tcPr>
          <w:p>
            <w:pPr>
              <w:ind w:left="100"/>
              <w:spacing w:after="0"/>
              <w:rPr>
                <w:sz w:val="20"/>
                <w:szCs w:val="20"/>
                <w:color w:val="auto"/>
              </w:rPr>
            </w:pPr>
            <w:r>
              <w:rPr>
                <w:rFonts w:ascii="Arial" w:cs="Arial" w:eastAsia="Arial" w:hAnsi="Arial"/>
                <w:sz w:val="18"/>
                <w:szCs w:val="18"/>
                <w:color w:val="auto"/>
                <w:w w:val="95"/>
              </w:rPr>
              <w:t>September 1, 2016</w:t>
            </w:r>
          </w:p>
        </w:tc>
      </w:tr>
      <w:tr>
        <w:trPr>
          <w:trHeight w:val="270"/>
        </w:trPr>
        <w:tc>
          <w:tcPr>
            <w:tcW w:w="2480" w:type="dxa"/>
            <w:vAlign w:val="bottom"/>
          </w:tcPr>
          <w:p>
            <w:pPr>
              <w:jc w:val="center"/>
              <w:spacing w:after="0"/>
              <w:rPr>
                <w:sz w:val="20"/>
                <w:szCs w:val="20"/>
                <w:color w:val="auto"/>
              </w:rPr>
            </w:pPr>
            <w:r>
              <w:rPr>
                <w:rFonts w:ascii="Arial" w:cs="Arial" w:eastAsia="Arial" w:hAnsi="Arial"/>
                <w:sz w:val="18"/>
                <w:szCs w:val="18"/>
                <w:color w:val="auto"/>
                <w:w w:val="94"/>
              </w:rPr>
              <w:t>Mariner’s Point Holdings,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Berkadia</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Mariner's Point</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7,700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6.09%</w:t>
            </w:r>
          </w:p>
        </w:tc>
        <w:tc>
          <w:tcPr>
            <w:tcW w:w="1580" w:type="dxa"/>
            <w:vAlign w:val="bottom"/>
          </w:tcPr>
          <w:p>
            <w:pPr>
              <w:ind w:left="100"/>
              <w:spacing w:after="0"/>
              <w:rPr>
                <w:sz w:val="20"/>
                <w:szCs w:val="20"/>
                <w:color w:val="auto"/>
              </w:rPr>
            </w:pPr>
            <w:r>
              <w:rPr>
                <w:rFonts w:ascii="Arial" w:cs="Arial" w:eastAsia="Arial" w:hAnsi="Arial"/>
                <w:sz w:val="18"/>
                <w:szCs w:val="18"/>
                <w:color w:val="auto"/>
                <w:w w:val="95"/>
              </w:rPr>
              <w:t>September 1, 2016</w:t>
            </w: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91"/>
              </w:rPr>
              <w:t>Southbay Marketplace Holdings,</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Wells Fargo</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South Bay Market Place</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23,000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5.48%</w:t>
            </w:r>
          </w:p>
        </w:tc>
        <w:tc>
          <w:tcPr>
            <w:tcW w:w="1580" w:type="dxa"/>
            <w:vAlign w:val="bottom"/>
          </w:tcPr>
          <w:p>
            <w:pPr>
              <w:ind w:left="100"/>
              <w:spacing w:after="0"/>
              <w:rPr>
                <w:sz w:val="20"/>
                <w:szCs w:val="20"/>
                <w:color w:val="auto"/>
              </w:rPr>
            </w:pPr>
            <w:r>
              <w:rPr>
                <w:rFonts w:ascii="Arial" w:cs="Arial" w:eastAsia="Arial" w:hAnsi="Arial"/>
                <w:sz w:val="18"/>
                <w:szCs w:val="18"/>
                <w:color w:val="auto"/>
                <w:w w:val="99"/>
              </w:rPr>
              <w:t>February 10, 2017</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rPr>
              <w:t>LLC</w:t>
            </w:r>
          </w:p>
        </w:tc>
        <w:tc>
          <w:tcPr>
            <w:tcW w:w="2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2480" w:type="dxa"/>
            <w:vAlign w:val="bottom"/>
          </w:tcPr>
          <w:p>
            <w:pPr>
              <w:jc w:val="center"/>
              <w:spacing w:after="0"/>
              <w:rPr>
                <w:sz w:val="20"/>
                <w:szCs w:val="20"/>
                <w:color w:val="auto"/>
              </w:rPr>
            </w:pPr>
            <w:r>
              <w:rPr>
                <w:rFonts w:ascii="Arial" w:cs="Arial" w:eastAsia="Arial" w:hAnsi="Arial"/>
                <w:sz w:val="18"/>
                <w:szCs w:val="18"/>
                <w:color w:val="auto"/>
                <w:w w:val="97"/>
              </w:rPr>
              <w:t>ABW Holdings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Berkadia</w:t>
            </w:r>
          </w:p>
        </w:tc>
        <w:tc>
          <w:tcPr>
            <w:tcW w:w="2340" w:type="dxa"/>
            <w:vAlign w:val="bottom"/>
          </w:tcPr>
          <w:p>
            <w:pPr>
              <w:jc w:val="center"/>
              <w:spacing w:after="0"/>
              <w:rPr>
                <w:sz w:val="20"/>
                <w:szCs w:val="20"/>
                <w:color w:val="auto"/>
              </w:rPr>
            </w:pPr>
            <w:r>
              <w:rPr>
                <w:rFonts w:ascii="Arial" w:cs="Arial" w:eastAsia="Arial" w:hAnsi="Arial"/>
                <w:sz w:val="18"/>
                <w:szCs w:val="18"/>
                <w:color w:val="auto"/>
                <w:w w:val="93"/>
              </w:rPr>
              <w:t>Waikiki Beach Walk Retail</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130,310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5.39%</w:t>
            </w:r>
          </w:p>
        </w:tc>
        <w:tc>
          <w:tcPr>
            <w:tcW w:w="1580" w:type="dxa"/>
            <w:vAlign w:val="bottom"/>
          </w:tcPr>
          <w:p>
            <w:pPr>
              <w:ind w:left="100"/>
              <w:spacing w:after="0"/>
              <w:rPr>
                <w:sz w:val="20"/>
                <w:szCs w:val="20"/>
                <w:color w:val="auto"/>
              </w:rPr>
            </w:pPr>
            <w:r>
              <w:rPr>
                <w:rFonts w:ascii="Arial" w:cs="Arial" w:eastAsia="Arial" w:hAnsi="Arial"/>
                <w:sz w:val="18"/>
                <w:szCs w:val="18"/>
                <w:color w:val="auto"/>
              </w:rPr>
              <w:t>July 1, 2017</w:t>
            </w: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93"/>
              </w:rPr>
              <w:t>SB Corporate Centre III-IV,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Berkadia</w:t>
            </w: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Solana Beach Corporate Centre</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36,487</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6.39%</w:t>
            </w:r>
          </w:p>
        </w:tc>
        <w:tc>
          <w:tcPr>
            <w:tcW w:w="1580" w:type="dxa"/>
            <w:vAlign w:val="bottom"/>
          </w:tcPr>
          <w:p>
            <w:pPr>
              <w:ind w:left="100"/>
              <w:spacing w:after="0"/>
              <w:rPr>
                <w:sz w:val="20"/>
                <w:szCs w:val="20"/>
                <w:color w:val="auto"/>
              </w:rPr>
            </w:pPr>
            <w:r>
              <w:rPr>
                <w:rFonts w:ascii="Arial" w:cs="Arial" w:eastAsia="Arial" w:hAnsi="Arial"/>
                <w:sz w:val="18"/>
                <w:szCs w:val="18"/>
                <w:color w:val="auto"/>
              </w:rPr>
              <w:t>August 1, 2017</w:t>
            </w:r>
          </w:p>
        </w:tc>
      </w:tr>
      <w:tr>
        <w:trPr>
          <w:trHeight w:val="230"/>
        </w:trPr>
        <w:tc>
          <w:tcPr>
            <w:tcW w:w="2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rPr>
              <w:t>- III &amp; IV</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89"/>
              </w:rPr>
              <w:t>Loma Palisades, a CA gen</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Wells Fargo</w:t>
            </w: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Loma Palisades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73,744</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6.09%</w:t>
            </w:r>
          </w:p>
        </w:tc>
        <w:tc>
          <w:tcPr>
            <w:tcW w:w="1580" w:type="dxa"/>
            <w:vAlign w:val="bottom"/>
          </w:tcPr>
          <w:p>
            <w:pPr>
              <w:ind w:left="100"/>
              <w:spacing w:after="0"/>
              <w:rPr>
                <w:sz w:val="20"/>
                <w:szCs w:val="20"/>
                <w:color w:val="auto"/>
              </w:rPr>
            </w:pPr>
            <w:r>
              <w:rPr>
                <w:rFonts w:ascii="Arial" w:cs="Arial" w:eastAsia="Arial" w:hAnsi="Arial"/>
                <w:sz w:val="18"/>
                <w:szCs w:val="18"/>
                <w:color w:val="auto"/>
              </w:rPr>
              <w:t>July 1, 2018</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91"/>
              </w:rPr>
              <w:t>partnership</w:t>
            </w:r>
          </w:p>
        </w:tc>
        <w:tc>
          <w:tcPr>
            <w:tcW w:w="2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2480" w:type="dxa"/>
            <w:vAlign w:val="bottom"/>
          </w:tcPr>
          <w:p>
            <w:pPr>
              <w:jc w:val="center"/>
              <w:spacing w:after="0"/>
              <w:rPr>
                <w:sz w:val="20"/>
                <w:szCs w:val="20"/>
                <w:color w:val="auto"/>
              </w:rPr>
            </w:pPr>
            <w:r>
              <w:rPr>
                <w:rFonts w:ascii="Arial" w:cs="Arial" w:eastAsia="Arial" w:hAnsi="Arial"/>
                <w:sz w:val="18"/>
                <w:szCs w:val="18"/>
                <w:color w:val="auto"/>
                <w:w w:val="93"/>
              </w:rPr>
              <w:t>AAT One Beach, LLC</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PNC</w:t>
            </w: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One Beach Street</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21,900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3.94%</w:t>
            </w:r>
          </w:p>
        </w:tc>
        <w:tc>
          <w:tcPr>
            <w:tcW w:w="1580" w:type="dxa"/>
            <w:vAlign w:val="bottom"/>
          </w:tcPr>
          <w:p>
            <w:pPr>
              <w:ind w:left="100"/>
              <w:spacing w:after="0"/>
              <w:rPr>
                <w:sz w:val="20"/>
                <w:szCs w:val="20"/>
                <w:color w:val="auto"/>
              </w:rPr>
            </w:pPr>
            <w:r>
              <w:rPr>
                <w:rFonts w:ascii="Arial" w:cs="Arial" w:eastAsia="Arial" w:hAnsi="Arial"/>
                <w:sz w:val="18"/>
                <w:szCs w:val="18"/>
                <w:color w:val="auto"/>
              </w:rPr>
              <w:t>April 1, 2019</w:t>
            </w: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94"/>
              </w:rPr>
              <w:t>Pacific North Court Holdings,</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John Hancock</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Torrey Reserve North Court I</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21,151</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7.22%</w:t>
            </w:r>
          </w:p>
        </w:tc>
        <w:tc>
          <w:tcPr>
            <w:tcW w:w="1580" w:type="dxa"/>
            <w:vAlign w:val="bottom"/>
          </w:tcPr>
          <w:p>
            <w:pPr>
              <w:ind w:left="100"/>
              <w:spacing w:after="0"/>
              <w:rPr>
                <w:sz w:val="20"/>
                <w:szCs w:val="20"/>
                <w:color w:val="auto"/>
              </w:rPr>
            </w:pPr>
            <w:r>
              <w:rPr>
                <w:rFonts w:ascii="Arial" w:cs="Arial" w:eastAsia="Arial" w:hAnsi="Arial"/>
                <w:sz w:val="18"/>
                <w:szCs w:val="18"/>
                <w:color w:val="auto"/>
              </w:rPr>
              <w:t>June 1, 2019</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87"/>
              </w:rPr>
              <w:t>L.P.</w:t>
            </w:r>
          </w:p>
        </w:tc>
        <w:tc>
          <w:tcPr>
            <w:tcW w:w="240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rPr>
              <w:t>&amp; II</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2480" w:type="dxa"/>
            <w:vAlign w:val="bottom"/>
          </w:tcPr>
          <w:p>
            <w:pPr>
              <w:jc w:val="center"/>
              <w:spacing w:after="0"/>
              <w:rPr>
                <w:sz w:val="20"/>
                <w:szCs w:val="20"/>
                <w:color w:val="auto"/>
              </w:rPr>
            </w:pPr>
            <w:r>
              <w:rPr>
                <w:rFonts w:ascii="Arial" w:cs="Arial" w:eastAsia="Arial" w:hAnsi="Arial"/>
                <w:sz w:val="18"/>
                <w:szCs w:val="18"/>
                <w:color w:val="auto"/>
                <w:w w:val="95"/>
              </w:rPr>
              <w:t>SBTC Holdings, LLC</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Wells Fargo</w:t>
            </w: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Solana Beach Towne Centre</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7,127</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6.36%</w:t>
            </w:r>
          </w:p>
        </w:tc>
        <w:tc>
          <w:tcPr>
            <w:tcW w:w="1580" w:type="dxa"/>
            <w:vAlign w:val="bottom"/>
          </w:tcPr>
          <w:p>
            <w:pPr>
              <w:ind w:left="100"/>
              <w:spacing w:after="0"/>
              <w:rPr>
                <w:sz w:val="20"/>
                <w:szCs w:val="20"/>
                <w:color w:val="auto"/>
              </w:rPr>
            </w:pPr>
            <w:r>
              <w:rPr>
                <w:rFonts w:ascii="Arial" w:cs="Arial" w:eastAsia="Arial" w:hAnsi="Arial"/>
                <w:sz w:val="18"/>
                <w:szCs w:val="18"/>
                <w:color w:val="auto"/>
              </w:rPr>
              <w:t>June 1, 2020</w:t>
            </w:r>
          </w:p>
        </w:tc>
      </w:tr>
      <w:tr>
        <w:trPr>
          <w:trHeight w:val="270"/>
        </w:trPr>
        <w:tc>
          <w:tcPr>
            <w:tcW w:w="2480" w:type="dxa"/>
            <w:vAlign w:val="bottom"/>
          </w:tcPr>
          <w:p>
            <w:pPr>
              <w:jc w:val="center"/>
              <w:spacing w:after="0"/>
              <w:rPr>
                <w:sz w:val="20"/>
                <w:szCs w:val="20"/>
                <w:color w:val="auto"/>
              </w:rPr>
            </w:pPr>
            <w:r>
              <w:rPr>
                <w:rFonts w:ascii="Arial" w:cs="Arial" w:eastAsia="Arial" w:hAnsi="Arial"/>
                <w:sz w:val="18"/>
                <w:szCs w:val="18"/>
                <w:color w:val="auto"/>
                <w:w w:val="96"/>
              </w:rPr>
              <w:t>Pacific VC Holdings, LLC</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Wells Fargo</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Torrey VCs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11,347</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5.91%</w:t>
            </w:r>
          </w:p>
        </w:tc>
        <w:tc>
          <w:tcPr>
            <w:tcW w:w="1580" w:type="dxa"/>
            <w:vAlign w:val="bottom"/>
          </w:tcPr>
          <w:p>
            <w:pPr>
              <w:ind w:left="100"/>
              <w:spacing w:after="0"/>
              <w:rPr>
                <w:sz w:val="20"/>
                <w:szCs w:val="20"/>
                <w:color w:val="auto"/>
              </w:rPr>
            </w:pPr>
            <w:r>
              <w:rPr>
                <w:rFonts w:ascii="Arial" w:cs="Arial" w:eastAsia="Arial" w:hAnsi="Arial"/>
                <w:sz w:val="18"/>
                <w:szCs w:val="18"/>
                <w:color w:val="auto"/>
              </w:rPr>
              <w:t>June 1, 2020</w:t>
            </w: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93"/>
              </w:rPr>
              <w:t>SBCC Holdings, LLC</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Wells Fargo</w:t>
            </w: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Solana Beach Corporate Centre</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37,823</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5.91%</w:t>
            </w:r>
          </w:p>
        </w:tc>
        <w:tc>
          <w:tcPr>
            <w:tcW w:w="1580" w:type="dxa"/>
            <w:vAlign w:val="bottom"/>
          </w:tcPr>
          <w:p>
            <w:pPr>
              <w:ind w:left="100"/>
              <w:spacing w:after="0"/>
              <w:rPr>
                <w:sz w:val="20"/>
                <w:szCs w:val="20"/>
                <w:color w:val="auto"/>
              </w:rPr>
            </w:pPr>
            <w:r>
              <w:rPr>
                <w:rFonts w:ascii="Arial" w:cs="Arial" w:eastAsia="Arial" w:hAnsi="Arial"/>
                <w:sz w:val="18"/>
                <w:szCs w:val="18"/>
                <w:color w:val="auto"/>
              </w:rPr>
              <w:t>June 1, 2020</w:t>
            </w:r>
          </w:p>
        </w:tc>
      </w:tr>
      <w:tr>
        <w:trPr>
          <w:trHeight w:val="230"/>
        </w:trPr>
        <w:tc>
          <w:tcPr>
            <w:tcW w:w="2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rPr>
              <w:t>- I &amp; II</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5.15</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360"/>
          </w:cols>
          <w:pgMar w:left="240" w:top="670" w:right="299" w:bottom="1440" w:gutter="0" w:footer="0" w:header="0"/>
        </w:sectPr>
      </w:pPr>
    </w:p>
    <w:bookmarkStart w:id="148" w:name="page149"/>
    <w:bookmarkEnd w:id="148"/>
    <w:tbl>
      <w:tblPr>
        <w:tblLayout w:type="fixed"/>
        <w:tblInd w:w="425"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AAT CC Bellevue, LLC</w:t>
            </w:r>
          </w:p>
        </w:tc>
        <w:tc>
          <w:tcPr>
            <w:tcW w:w="1980" w:type="dxa"/>
            <w:vAlign w:val="bottom"/>
          </w:tcPr>
          <w:p>
            <w:pPr>
              <w:jc w:val="center"/>
              <w:ind w:right="110"/>
              <w:spacing w:after="0"/>
              <w:rPr>
                <w:sz w:val="20"/>
                <w:szCs w:val="20"/>
                <w:color w:val="auto"/>
              </w:rPr>
            </w:pPr>
            <w:r>
              <w:rPr>
                <w:rFonts w:ascii="Arial" w:cs="Arial" w:eastAsia="Arial" w:hAnsi="Arial"/>
                <w:sz w:val="18"/>
                <w:szCs w:val="18"/>
                <w:color w:val="auto"/>
                <w:w w:val="89"/>
              </w:rPr>
              <w:t>PNC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City Center Bellevue</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111,000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3.98%</w:t>
            </w:r>
          </w:p>
        </w:tc>
        <w:tc>
          <w:tcPr>
            <w:tcW w:w="1500" w:type="dxa"/>
            <w:vAlign w:val="bottom"/>
          </w:tcPr>
          <w:p>
            <w:pPr>
              <w:ind w:left="160"/>
              <w:spacing w:after="0"/>
              <w:rPr>
                <w:sz w:val="20"/>
                <w:szCs w:val="20"/>
                <w:color w:val="auto"/>
              </w:rPr>
            </w:pPr>
            <w:r>
              <w:rPr>
                <w:rFonts w:ascii="Arial" w:cs="Arial" w:eastAsia="Arial" w:hAnsi="Arial"/>
                <w:sz w:val="18"/>
                <w:szCs w:val="18"/>
                <w:color w:val="auto"/>
                <w:w w:val="89"/>
              </w:rPr>
              <w:t>November 1, 2022</w:t>
            </w:r>
          </w:p>
        </w:tc>
      </w:tr>
      <w:tr>
        <w:trPr>
          <w:trHeight w:val="311"/>
        </w:trPr>
        <w:tc>
          <w:tcPr>
            <w:tcW w:w="2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7"/>
        </w:trPr>
        <w:tc>
          <w:tcPr>
            <w:tcW w:w="2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961,089</w:t>
            </w:r>
          </w:p>
        </w:tc>
        <w:tc>
          <w:tcPr>
            <w:tcW w:w="1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39"/>
        </w:trPr>
        <w:tc>
          <w:tcPr>
            <w:tcW w:w="2380" w:type="dxa"/>
            <w:vAlign w:val="bottom"/>
          </w:tcPr>
          <w:p>
            <w:pPr>
              <w:spacing w:after="0"/>
              <w:rPr>
                <w:sz w:val="24"/>
                <w:szCs w:val="24"/>
                <w:color w:val="auto"/>
              </w:rPr>
            </w:pPr>
          </w:p>
        </w:tc>
        <w:tc>
          <w:tcPr>
            <w:tcW w:w="1980" w:type="dxa"/>
            <w:vAlign w:val="bottom"/>
          </w:tcPr>
          <w:p>
            <w:pPr>
              <w:jc w:val="center"/>
              <w:ind w:right="130"/>
              <w:spacing w:after="0"/>
              <w:rPr>
                <w:sz w:val="20"/>
                <w:szCs w:val="20"/>
                <w:color w:val="auto"/>
              </w:rPr>
            </w:pPr>
            <w:r>
              <w:rPr>
                <w:rFonts w:ascii="Arial" w:cs="Arial" w:eastAsia="Arial" w:hAnsi="Arial"/>
                <w:sz w:val="18"/>
                <w:szCs w:val="18"/>
                <w:color w:val="auto"/>
              </w:rPr>
              <w:t>BAML</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Line of Credit - Unsecured</w:t>
            </w:r>
          </w:p>
        </w:tc>
        <w:tc>
          <w:tcPr>
            <w:tcW w:w="136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3.0825%</w:t>
            </w:r>
          </w:p>
        </w:tc>
        <w:tc>
          <w:tcPr>
            <w:tcW w:w="1500" w:type="dxa"/>
            <w:vAlign w:val="bottom"/>
          </w:tcPr>
          <w:p>
            <w:pPr>
              <w:ind w:left="160"/>
              <w:spacing w:after="0"/>
              <w:rPr>
                <w:sz w:val="20"/>
                <w:szCs w:val="20"/>
                <w:color w:val="auto"/>
              </w:rPr>
            </w:pPr>
            <w:r>
              <w:rPr>
                <w:rFonts w:ascii="Arial" w:cs="Arial" w:eastAsia="Arial" w:hAnsi="Arial"/>
                <w:sz w:val="18"/>
                <w:szCs w:val="18"/>
                <w:color w:val="auto"/>
              </w:rPr>
              <w:t>January 9, 2019</w:t>
            </w:r>
          </w:p>
        </w:tc>
      </w:tr>
      <w:tr>
        <w:trPr>
          <w:trHeight w:val="230"/>
        </w:trPr>
        <w:tc>
          <w:tcPr>
            <w:tcW w:w="2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Term Loan(1)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100,000</w:t>
            </w:r>
          </w:p>
        </w:tc>
        <w:tc>
          <w:tcPr>
            <w:tcW w:w="1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520"/>
        </w:trPr>
        <w:tc>
          <w:tcPr>
            <w:tcW w:w="2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1,061,089</w:t>
            </w: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17145</wp:posOffset>
            </wp:positionV>
            <wp:extent cx="866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2" w:lineRule="exact"/>
        <w:rPr>
          <w:sz w:val="20"/>
          <w:szCs w:val="20"/>
          <w:color w:val="auto"/>
        </w:rPr>
      </w:pPr>
    </w:p>
    <w:p>
      <w:pPr>
        <w:ind w:left="5"/>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extension options</w:t>
      </w:r>
    </w:p>
    <w:p>
      <w:pPr>
        <w:ind w:left="105" w:hanging="105"/>
        <w:spacing w:after="0" w:line="183" w:lineRule="auto"/>
        <w:tabs>
          <w:tab w:leader="none" w:pos="105" w:val="left"/>
        </w:tabs>
        <w:numPr>
          <w:ilvl w:val="0"/>
          <w:numId w:val="109"/>
        </w:numPr>
        <w:rPr>
          <w:rFonts w:ascii="Arial" w:cs="Arial" w:eastAsia="Arial" w:hAnsi="Arial"/>
          <w:sz w:val="25"/>
          <w:szCs w:val="25"/>
          <w:color w:val="auto"/>
          <w:vertAlign w:val="superscript"/>
        </w:rPr>
      </w:pPr>
      <w:r>
        <w:rPr>
          <w:rFonts w:ascii="Arial" w:cs="Arial" w:eastAsia="Arial" w:hAnsi="Arial"/>
          <w:sz w:val="18"/>
          <w:szCs w:val="18"/>
          <w:color w:val="auto"/>
        </w:rPr>
        <w:t>To be paid off, in full, on October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84"/>
        <w:spacing w:after="0" w:line="253" w:lineRule="exact"/>
        <w:rPr>
          <w:sz w:val="20"/>
          <w:szCs w:val="20"/>
          <w:color w:val="auto"/>
        </w:rPr>
      </w:pPr>
      <w:r>
        <w:rPr>
          <w:rFonts w:ascii="Arial" w:cs="Arial" w:eastAsia="Arial" w:hAnsi="Arial"/>
          <w:sz w:val="22"/>
          <w:szCs w:val="22"/>
          <w:color w:val="auto"/>
        </w:rPr>
        <w:t>5.15</w:t>
      </w:r>
      <w:r>
        <w:rPr>
          <w:rFonts w:ascii="MS PGothic" w:cs="MS PGothic" w:eastAsia="MS PGothic" w:hAnsi="MS PGothic"/>
          <w:sz w:val="22"/>
          <w:szCs w:val="22"/>
          <w:color w:val="auto"/>
        </w:rPr>
        <w:t>‑</w:t>
      </w:r>
      <w:r>
        <w:rPr>
          <w:rFonts w:ascii="Arial" w:cs="Arial" w:eastAsia="Arial" w:hAnsi="Arial"/>
          <w:sz w:val="22"/>
          <w:szCs w:val="22"/>
          <w:color w:val="auto"/>
        </w:rPr>
        <w:t>2</w:t>
      </w:r>
    </w:p>
    <w:p>
      <w:pPr>
        <w:sectPr>
          <w:pgSz w:w="11900" w:h="16838" w:orient="portrait"/>
          <w:cols w:equalWidth="0" w:num="1">
            <w:col w:w="11165"/>
          </w:cols>
          <w:pgMar w:left="275" w:top="828" w:right="459" w:bottom="1440" w:gutter="0" w:footer="0" w:header="0"/>
        </w:sectPr>
      </w:pPr>
    </w:p>
    <w:bookmarkStart w:id="149" w:name="page150"/>
    <w:bookmarkEnd w:id="149"/>
    <w:p>
      <w:pPr>
        <w:jc w:val="center"/>
        <w:ind w:right="20"/>
        <w:spacing w:after="0"/>
        <w:rPr>
          <w:sz w:val="20"/>
          <w:szCs w:val="20"/>
          <w:color w:val="auto"/>
        </w:rPr>
      </w:pPr>
      <w:r>
        <w:rPr>
          <w:rFonts w:ascii="Arial" w:cs="Arial" w:eastAsia="Arial" w:hAnsi="Arial"/>
          <w:sz w:val="22"/>
          <w:szCs w:val="22"/>
          <w:b w:val="1"/>
          <w:bCs w:val="1"/>
          <w:color w:val="auto"/>
        </w:rPr>
        <w:t>EXISTING LIENS</w:t>
      </w:r>
    </w:p>
    <w:p>
      <w:pPr>
        <w:spacing w:after="0" w:line="200" w:lineRule="exact"/>
        <w:rPr>
          <w:sz w:val="20"/>
          <w:szCs w:val="20"/>
          <w:color w:val="auto"/>
        </w:r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375"/>
        </w:trPr>
        <w:tc>
          <w:tcPr>
            <w:tcW w:w="3800" w:type="dxa"/>
            <w:vAlign w:val="bottom"/>
            <w:tcBorders>
              <w:top w:val="single" w:sz="8" w:color="00000A"/>
              <w:left w:val="single" w:sz="8" w:color="00000A"/>
              <w:right w:val="single" w:sz="8" w:color="00000A"/>
            </w:tcBorders>
            <w:shd w:val="clear" w:color="auto" w:fill="D9D9D9"/>
          </w:tcPr>
          <w:p>
            <w:pPr>
              <w:ind w:left="1160"/>
              <w:spacing w:after="0"/>
              <w:rPr>
                <w:sz w:val="20"/>
                <w:szCs w:val="20"/>
                <w:color w:val="auto"/>
              </w:rPr>
            </w:pPr>
            <w:r>
              <w:rPr>
                <w:rFonts w:ascii="Arial" w:cs="Arial" w:eastAsia="Arial" w:hAnsi="Arial"/>
                <w:sz w:val="22"/>
                <w:szCs w:val="22"/>
                <w:color w:val="auto"/>
              </w:rPr>
              <w:t>ENTITY NAME</w:t>
            </w:r>
          </w:p>
        </w:tc>
        <w:tc>
          <w:tcPr>
            <w:tcW w:w="2300" w:type="dxa"/>
            <w:vAlign w:val="bottom"/>
            <w:tcBorders>
              <w:top w:val="single" w:sz="8" w:color="00000A"/>
              <w:right w:val="single" w:sz="8" w:color="00000A"/>
            </w:tcBorders>
            <w:shd w:val="clear" w:color="auto" w:fill="D9D9D9"/>
          </w:tcPr>
          <w:p>
            <w:pPr>
              <w:ind w:left="420"/>
              <w:spacing w:after="0"/>
              <w:rPr>
                <w:sz w:val="20"/>
                <w:szCs w:val="20"/>
                <w:color w:val="auto"/>
              </w:rPr>
            </w:pPr>
            <w:r>
              <w:rPr>
                <w:rFonts w:ascii="Arial" w:cs="Arial" w:eastAsia="Arial" w:hAnsi="Arial"/>
                <w:sz w:val="22"/>
                <w:szCs w:val="22"/>
                <w:color w:val="auto"/>
              </w:rPr>
              <w:t>UCC NUMBER</w:t>
            </w:r>
          </w:p>
        </w:tc>
        <w:tc>
          <w:tcPr>
            <w:tcW w:w="250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color w:val="auto"/>
                <w:w w:val="95"/>
              </w:rPr>
              <w:t>LOCATION</w:t>
            </w:r>
          </w:p>
        </w:tc>
        <w:tc>
          <w:tcPr>
            <w:tcW w:w="2840" w:type="dxa"/>
            <w:vAlign w:val="bottom"/>
            <w:tcBorders>
              <w:top w:val="single" w:sz="8" w:color="00000A"/>
              <w:right w:val="single" w:sz="8" w:color="00000A"/>
            </w:tcBorders>
            <w:shd w:val="clear" w:color="auto" w:fill="D9D9D9"/>
          </w:tcPr>
          <w:p>
            <w:pPr>
              <w:ind w:left="700"/>
              <w:spacing w:after="0"/>
              <w:rPr>
                <w:sz w:val="20"/>
                <w:szCs w:val="20"/>
                <w:color w:val="auto"/>
              </w:rPr>
            </w:pPr>
            <w:r>
              <w:rPr>
                <w:rFonts w:ascii="Arial" w:cs="Arial" w:eastAsia="Arial" w:hAnsi="Arial"/>
                <w:sz w:val="22"/>
                <w:szCs w:val="22"/>
                <w:color w:val="auto"/>
              </w:rPr>
              <w:t>COLLATERAL</w:t>
            </w:r>
          </w:p>
        </w:tc>
        <w:tc>
          <w:tcPr>
            <w:tcW w:w="0" w:type="dxa"/>
            <w:vAlign w:val="bottom"/>
          </w:tcPr>
          <w:p>
            <w:pPr>
              <w:spacing w:after="0"/>
              <w:rPr>
                <w:sz w:val="1"/>
                <w:szCs w:val="1"/>
                <w:color w:val="auto"/>
              </w:rPr>
            </w:pPr>
          </w:p>
        </w:tc>
      </w:tr>
      <w:tr>
        <w:trPr>
          <w:trHeight w:val="206"/>
        </w:trPr>
        <w:tc>
          <w:tcPr>
            <w:tcW w:w="3800" w:type="dxa"/>
            <w:vAlign w:val="bottom"/>
            <w:tcBorders>
              <w:left w:val="single" w:sz="8" w:color="00000A"/>
              <w:bottom w:val="single" w:sz="8" w:color="00000A"/>
              <w:right w:val="single" w:sz="8" w:color="00000A"/>
            </w:tcBorders>
            <w:shd w:val="clear" w:color="auto" w:fill="D9D9D9"/>
          </w:tcPr>
          <w:p>
            <w:pPr>
              <w:spacing w:after="0"/>
              <w:rPr>
                <w:sz w:val="17"/>
                <w:szCs w:val="17"/>
                <w:color w:val="auto"/>
              </w:rPr>
            </w:pPr>
          </w:p>
        </w:tc>
        <w:tc>
          <w:tcPr>
            <w:tcW w:w="2300" w:type="dxa"/>
            <w:vAlign w:val="bottom"/>
            <w:tcBorders>
              <w:bottom w:val="single" w:sz="8" w:color="00000A"/>
              <w:right w:val="single" w:sz="8" w:color="00000A"/>
            </w:tcBorders>
            <w:shd w:val="clear" w:color="auto" w:fill="D9D9D9"/>
          </w:tcPr>
          <w:p>
            <w:pPr>
              <w:spacing w:after="0"/>
              <w:rPr>
                <w:sz w:val="17"/>
                <w:szCs w:val="17"/>
                <w:color w:val="auto"/>
              </w:rPr>
            </w:pPr>
          </w:p>
        </w:tc>
        <w:tc>
          <w:tcPr>
            <w:tcW w:w="2500" w:type="dxa"/>
            <w:vAlign w:val="bottom"/>
            <w:tcBorders>
              <w:bottom w:val="single" w:sz="8" w:color="00000A"/>
              <w:right w:val="single" w:sz="8" w:color="00000A"/>
            </w:tcBorders>
            <w:shd w:val="clear" w:color="auto" w:fill="D9D9D9"/>
          </w:tcPr>
          <w:p>
            <w:pPr>
              <w:spacing w:after="0"/>
              <w:rPr>
                <w:sz w:val="17"/>
                <w:szCs w:val="17"/>
                <w:color w:val="auto"/>
              </w:rPr>
            </w:pPr>
          </w:p>
        </w:tc>
        <w:tc>
          <w:tcPr>
            <w:tcW w:w="2840" w:type="dxa"/>
            <w:vAlign w:val="bottom"/>
            <w:tcBorders>
              <w:bottom w:val="single" w:sz="8" w:color="00000A"/>
              <w:right w:val="single" w:sz="8" w:color="00000A"/>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ABW Lewers LLC</w:t>
            </w:r>
          </w:p>
        </w:tc>
        <w:tc>
          <w:tcPr>
            <w:tcW w:w="23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2006-227575</w:t>
            </w:r>
          </w:p>
        </w:tc>
        <w:tc>
          <w:tcPr>
            <w:tcW w:w="2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1"/>
              </w:rPr>
              <w:t>Hawaii Bureau of</w:t>
            </w:r>
          </w:p>
        </w:tc>
        <w:tc>
          <w:tcPr>
            <w:tcW w:w="284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Equipment Lease Filing</w:t>
            </w:r>
          </w:p>
        </w:tc>
        <w:tc>
          <w:tcPr>
            <w:tcW w:w="0" w:type="dxa"/>
            <w:vAlign w:val="bottom"/>
          </w:tcPr>
          <w:p>
            <w:pPr>
              <w:spacing w:after="0"/>
              <w:rPr>
                <w:sz w:val="1"/>
                <w:szCs w:val="1"/>
                <w:color w:val="auto"/>
              </w:rPr>
            </w:pPr>
          </w:p>
        </w:tc>
      </w:tr>
      <w:tr>
        <w:trPr>
          <w:trHeight w:val="50"/>
        </w:trPr>
        <w:tc>
          <w:tcPr>
            <w:tcW w:w="3800" w:type="dxa"/>
            <w:vAlign w:val="bottom"/>
            <w:tcBorders>
              <w:left w:val="single" w:sz="8" w:color="00000A"/>
              <w:right w:val="single" w:sz="8" w:color="00000A"/>
            </w:tcBorders>
          </w:tcPr>
          <w:p>
            <w:pPr>
              <w:spacing w:after="0"/>
              <w:rPr>
                <w:sz w:val="4"/>
                <w:szCs w:val="4"/>
                <w:color w:val="auto"/>
              </w:rPr>
            </w:pPr>
          </w:p>
        </w:tc>
        <w:tc>
          <w:tcPr>
            <w:tcW w:w="2300" w:type="dxa"/>
            <w:vAlign w:val="bottom"/>
            <w:tcBorders>
              <w:right w:val="single" w:sz="8" w:color="00000A"/>
            </w:tcBorders>
            <w:vMerge w:val="continue"/>
          </w:tcPr>
          <w:p>
            <w:pPr>
              <w:spacing w:after="0"/>
              <w:rPr>
                <w:sz w:val="4"/>
                <w:szCs w:val="4"/>
                <w:color w:val="auto"/>
              </w:rPr>
            </w:pPr>
          </w:p>
        </w:tc>
        <w:tc>
          <w:tcPr>
            <w:tcW w:w="2500" w:type="dxa"/>
            <w:vAlign w:val="bottom"/>
            <w:tcBorders>
              <w:right w:val="single" w:sz="8" w:color="00000A"/>
            </w:tcBorders>
            <w:vMerge w:val="continue"/>
          </w:tcPr>
          <w:p>
            <w:pPr>
              <w:spacing w:after="0"/>
              <w:rPr>
                <w:sz w:val="4"/>
                <w:szCs w:val="4"/>
                <w:color w:val="auto"/>
              </w:rPr>
            </w:pPr>
          </w:p>
        </w:tc>
        <w:tc>
          <w:tcPr>
            <w:tcW w:w="284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800" w:type="dxa"/>
            <w:vAlign w:val="bottom"/>
            <w:tcBorders>
              <w:left w:val="single" w:sz="8" w:color="00000A"/>
              <w:right w:val="single" w:sz="8" w:color="00000A"/>
            </w:tcBorders>
          </w:tcPr>
          <w:p>
            <w:pPr>
              <w:spacing w:after="0"/>
              <w:rPr>
                <w:sz w:val="23"/>
                <w:szCs w:val="23"/>
                <w:color w:val="auto"/>
              </w:rPr>
            </w:pPr>
          </w:p>
        </w:tc>
        <w:tc>
          <w:tcPr>
            <w:tcW w:w="2300" w:type="dxa"/>
            <w:vAlign w:val="bottom"/>
            <w:tcBorders>
              <w:right w:val="single" w:sz="8" w:color="00000A"/>
            </w:tcBorders>
          </w:tcPr>
          <w:p>
            <w:pPr>
              <w:spacing w:after="0"/>
              <w:rPr>
                <w:sz w:val="23"/>
                <w:szCs w:val="23"/>
                <w:color w:val="auto"/>
              </w:rPr>
            </w:pPr>
          </w:p>
        </w:tc>
        <w:tc>
          <w:tcPr>
            <w:tcW w:w="25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5"/>
              </w:rPr>
              <w:t>Conveyances</w:t>
            </w:r>
          </w:p>
        </w:tc>
        <w:tc>
          <w:tcPr>
            <w:tcW w:w="284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800" w:type="dxa"/>
            <w:vAlign w:val="bottom"/>
            <w:tcBorders>
              <w:left w:val="single" w:sz="8" w:color="00000A"/>
              <w:bottom w:val="single" w:sz="8" w:color="00000A"/>
              <w:right w:val="single" w:sz="8" w:color="00000A"/>
            </w:tcBorders>
          </w:tcPr>
          <w:p>
            <w:pPr>
              <w:spacing w:after="0"/>
              <w:rPr>
                <w:sz w:val="17"/>
                <w:szCs w:val="17"/>
                <w:color w:val="auto"/>
              </w:rPr>
            </w:pPr>
          </w:p>
        </w:tc>
        <w:tc>
          <w:tcPr>
            <w:tcW w:w="2300" w:type="dxa"/>
            <w:vAlign w:val="bottom"/>
            <w:tcBorders>
              <w:bottom w:val="single" w:sz="8" w:color="00000A"/>
              <w:right w:val="single" w:sz="8" w:color="00000A"/>
            </w:tcBorders>
          </w:tcPr>
          <w:p>
            <w:pPr>
              <w:spacing w:after="0"/>
              <w:rPr>
                <w:sz w:val="17"/>
                <w:szCs w:val="17"/>
                <w:color w:val="auto"/>
              </w:rPr>
            </w:pPr>
          </w:p>
        </w:tc>
        <w:tc>
          <w:tcPr>
            <w:tcW w:w="2500" w:type="dxa"/>
            <w:vAlign w:val="bottom"/>
            <w:tcBorders>
              <w:bottom w:val="single" w:sz="8" w:color="00000A"/>
              <w:right w:val="single" w:sz="8" w:color="00000A"/>
            </w:tcBorders>
          </w:tcPr>
          <w:p>
            <w:pPr>
              <w:spacing w:after="0"/>
              <w:rPr>
                <w:sz w:val="17"/>
                <w:szCs w:val="17"/>
                <w:color w:val="auto"/>
              </w:rPr>
            </w:pPr>
          </w:p>
        </w:tc>
        <w:tc>
          <w:tcPr>
            <w:tcW w:w="2840" w:type="dxa"/>
            <w:vAlign w:val="bottom"/>
            <w:tcBorders>
              <w:bottom w:val="single" w:sz="8" w:color="00000A"/>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Del Monte Centre Holdings LLC</w:t>
            </w:r>
          </w:p>
        </w:tc>
        <w:tc>
          <w:tcPr>
            <w:tcW w:w="23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9"/>
              </w:rPr>
              <w:t>08-7176897215</w:t>
            </w:r>
          </w:p>
        </w:tc>
        <w:tc>
          <w:tcPr>
            <w:tcW w:w="2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California Secretary of</w:t>
            </w:r>
          </w:p>
        </w:tc>
        <w:tc>
          <w:tcPr>
            <w:tcW w:w="284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Equipment Lease Filing</w:t>
            </w:r>
          </w:p>
        </w:tc>
        <w:tc>
          <w:tcPr>
            <w:tcW w:w="0" w:type="dxa"/>
            <w:vAlign w:val="bottom"/>
          </w:tcPr>
          <w:p>
            <w:pPr>
              <w:spacing w:after="0"/>
              <w:rPr>
                <w:sz w:val="1"/>
                <w:szCs w:val="1"/>
                <w:color w:val="auto"/>
              </w:rPr>
            </w:pPr>
          </w:p>
        </w:tc>
      </w:tr>
      <w:tr>
        <w:trPr>
          <w:trHeight w:val="50"/>
        </w:trPr>
        <w:tc>
          <w:tcPr>
            <w:tcW w:w="3800" w:type="dxa"/>
            <w:vAlign w:val="bottom"/>
            <w:tcBorders>
              <w:left w:val="single" w:sz="8" w:color="00000A"/>
              <w:right w:val="single" w:sz="8" w:color="00000A"/>
            </w:tcBorders>
          </w:tcPr>
          <w:p>
            <w:pPr>
              <w:spacing w:after="0"/>
              <w:rPr>
                <w:sz w:val="4"/>
                <w:szCs w:val="4"/>
                <w:color w:val="auto"/>
              </w:rPr>
            </w:pPr>
          </w:p>
        </w:tc>
        <w:tc>
          <w:tcPr>
            <w:tcW w:w="2300" w:type="dxa"/>
            <w:vAlign w:val="bottom"/>
            <w:tcBorders>
              <w:right w:val="single" w:sz="8" w:color="00000A"/>
            </w:tcBorders>
            <w:vMerge w:val="continue"/>
          </w:tcPr>
          <w:p>
            <w:pPr>
              <w:spacing w:after="0"/>
              <w:rPr>
                <w:sz w:val="4"/>
                <w:szCs w:val="4"/>
                <w:color w:val="auto"/>
              </w:rPr>
            </w:pPr>
          </w:p>
        </w:tc>
        <w:tc>
          <w:tcPr>
            <w:tcW w:w="2500" w:type="dxa"/>
            <w:vAlign w:val="bottom"/>
            <w:tcBorders>
              <w:right w:val="single" w:sz="8" w:color="00000A"/>
            </w:tcBorders>
            <w:vMerge w:val="continue"/>
          </w:tcPr>
          <w:p>
            <w:pPr>
              <w:spacing w:after="0"/>
              <w:rPr>
                <w:sz w:val="4"/>
                <w:szCs w:val="4"/>
                <w:color w:val="auto"/>
              </w:rPr>
            </w:pPr>
          </w:p>
        </w:tc>
        <w:tc>
          <w:tcPr>
            <w:tcW w:w="284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800" w:type="dxa"/>
            <w:vAlign w:val="bottom"/>
            <w:tcBorders>
              <w:left w:val="single" w:sz="8" w:color="00000A"/>
              <w:right w:val="single" w:sz="8" w:color="00000A"/>
            </w:tcBorders>
          </w:tcPr>
          <w:p>
            <w:pPr>
              <w:spacing w:after="0"/>
              <w:rPr>
                <w:sz w:val="23"/>
                <w:szCs w:val="23"/>
                <w:color w:val="auto"/>
              </w:rPr>
            </w:pPr>
          </w:p>
        </w:tc>
        <w:tc>
          <w:tcPr>
            <w:tcW w:w="2300" w:type="dxa"/>
            <w:vAlign w:val="bottom"/>
            <w:tcBorders>
              <w:right w:val="single" w:sz="8" w:color="00000A"/>
            </w:tcBorders>
          </w:tcPr>
          <w:p>
            <w:pPr>
              <w:spacing w:after="0"/>
              <w:rPr>
                <w:sz w:val="23"/>
                <w:szCs w:val="23"/>
                <w:color w:val="auto"/>
              </w:rPr>
            </w:pPr>
          </w:p>
        </w:tc>
        <w:tc>
          <w:tcPr>
            <w:tcW w:w="25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1"/>
              </w:rPr>
              <w:t>State</w:t>
            </w:r>
          </w:p>
        </w:tc>
        <w:tc>
          <w:tcPr>
            <w:tcW w:w="284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800" w:type="dxa"/>
            <w:vAlign w:val="bottom"/>
            <w:tcBorders>
              <w:left w:val="single" w:sz="8" w:color="00000A"/>
              <w:bottom w:val="single" w:sz="8" w:color="00000A"/>
              <w:right w:val="single" w:sz="8" w:color="00000A"/>
            </w:tcBorders>
          </w:tcPr>
          <w:p>
            <w:pPr>
              <w:spacing w:after="0"/>
              <w:rPr>
                <w:sz w:val="17"/>
                <w:szCs w:val="17"/>
                <w:color w:val="auto"/>
              </w:rPr>
            </w:pPr>
          </w:p>
        </w:tc>
        <w:tc>
          <w:tcPr>
            <w:tcW w:w="2300" w:type="dxa"/>
            <w:vAlign w:val="bottom"/>
            <w:tcBorders>
              <w:bottom w:val="single" w:sz="8" w:color="00000A"/>
              <w:right w:val="single" w:sz="8" w:color="00000A"/>
            </w:tcBorders>
          </w:tcPr>
          <w:p>
            <w:pPr>
              <w:spacing w:after="0"/>
              <w:rPr>
                <w:sz w:val="17"/>
                <w:szCs w:val="17"/>
                <w:color w:val="auto"/>
              </w:rPr>
            </w:pPr>
          </w:p>
        </w:tc>
        <w:tc>
          <w:tcPr>
            <w:tcW w:w="2500" w:type="dxa"/>
            <w:vAlign w:val="bottom"/>
            <w:tcBorders>
              <w:bottom w:val="single" w:sz="8" w:color="00000A"/>
              <w:right w:val="single" w:sz="8" w:color="00000A"/>
            </w:tcBorders>
          </w:tcPr>
          <w:p>
            <w:pPr>
              <w:spacing w:after="0"/>
              <w:rPr>
                <w:sz w:val="17"/>
                <w:szCs w:val="17"/>
                <w:color w:val="auto"/>
              </w:rPr>
            </w:pPr>
          </w:p>
        </w:tc>
        <w:tc>
          <w:tcPr>
            <w:tcW w:w="2840" w:type="dxa"/>
            <w:vAlign w:val="bottom"/>
            <w:tcBorders>
              <w:bottom w:val="single" w:sz="8" w:color="00000A"/>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EBW Hotel LLC</w:t>
            </w:r>
          </w:p>
        </w:tc>
        <w:tc>
          <w:tcPr>
            <w:tcW w:w="23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2007-045320</w:t>
            </w:r>
          </w:p>
        </w:tc>
        <w:tc>
          <w:tcPr>
            <w:tcW w:w="2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1"/>
              </w:rPr>
              <w:t>Hawaii Bureau of</w:t>
            </w:r>
          </w:p>
        </w:tc>
        <w:tc>
          <w:tcPr>
            <w:tcW w:w="284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Equipment Lease Filing</w:t>
            </w:r>
          </w:p>
        </w:tc>
        <w:tc>
          <w:tcPr>
            <w:tcW w:w="0" w:type="dxa"/>
            <w:vAlign w:val="bottom"/>
          </w:tcPr>
          <w:p>
            <w:pPr>
              <w:spacing w:after="0"/>
              <w:rPr>
                <w:sz w:val="1"/>
                <w:szCs w:val="1"/>
                <w:color w:val="auto"/>
              </w:rPr>
            </w:pPr>
          </w:p>
        </w:tc>
      </w:tr>
      <w:tr>
        <w:trPr>
          <w:trHeight w:val="50"/>
        </w:trPr>
        <w:tc>
          <w:tcPr>
            <w:tcW w:w="3800" w:type="dxa"/>
            <w:vAlign w:val="bottom"/>
            <w:tcBorders>
              <w:left w:val="single" w:sz="8" w:color="00000A"/>
              <w:right w:val="single" w:sz="8" w:color="00000A"/>
            </w:tcBorders>
          </w:tcPr>
          <w:p>
            <w:pPr>
              <w:spacing w:after="0"/>
              <w:rPr>
                <w:sz w:val="4"/>
                <w:szCs w:val="4"/>
                <w:color w:val="auto"/>
              </w:rPr>
            </w:pPr>
          </w:p>
        </w:tc>
        <w:tc>
          <w:tcPr>
            <w:tcW w:w="2300" w:type="dxa"/>
            <w:vAlign w:val="bottom"/>
            <w:tcBorders>
              <w:right w:val="single" w:sz="8" w:color="00000A"/>
            </w:tcBorders>
            <w:vMerge w:val="continue"/>
          </w:tcPr>
          <w:p>
            <w:pPr>
              <w:spacing w:after="0"/>
              <w:rPr>
                <w:sz w:val="4"/>
                <w:szCs w:val="4"/>
                <w:color w:val="auto"/>
              </w:rPr>
            </w:pPr>
          </w:p>
        </w:tc>
        <w:tc>
          <w:tcPr>
            <w:tcW w:w="2500" w:type="dxa"/>
            <w:vAlign w:val="bottom"/>
            <w:tcBorders>
              <w:right w:val="single" w:sz="8" w:color="00000A"/>
            </w:tcBorders>
            <w:vMerge w:val="continue"/>
          </w:tcPr>
          <w:p>
            <w:pPr>
              <w:spacing w:after="0"/>
              <w:rPr>
                <w:sz w:val="4"/>
                <w:szCs w:val="4"/>
                <w:color w:val="auto"/>
              </w:rPr>
            </w:pPr>
          </w:p>
        </w:tc>
        <w:tc>
          <w:tcPr>
            <w:tcW w:w="284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800" w:type="dxa"/>
            <w:vAlign w:val="bottom"/>
            <w:tcBorders>
              <w:left w:val="single" w:sz="8" w:color="00000A"/>
              <w:right w:val="single" w:sz="8" w:color="00000A"/>
            </w:tcBorders>
          </w:tcPr>
          <w:p>
            <w:pPr>
              <w:spacing w:after="0"/>
              <w:rPr>
                <w:sz w:val="23"/>
                <w:szCs w:val="23"/>
                <w:color w:val="auto"/>
              </w:rPr>
            </w:pPr>
          </w:p>
        </w:tc>
        <w:tc>
          <w:tcPr>
            <w:tcW w:w="2300" w:type="dxa"/>
            <w:vAlign w:val="bottom"/>
            <w:tcBorders>
              <w:right w:val="single" w:sz="8" w:color="00000A"/>
            </w:tcBorders>
          </w:tcPr>
          <w:p>
            <w:pPr>
              <w:spacing w:after="0"/>
              <w:rPr>
                <w:sz w:val="23"/>
                <w:szCs w:val="23"/>
                <w:color w:val="auto"/>
              </w:rPr>
            </w:pPr>
          </w:p>
        </w:tc>
        <w:tc>
          <w:tcPr>
            <w:tcW w:w="25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5"/>
              </w:rPr>
              <w:t>Conveyances</w:t>
            </w:r>
          </w:p>
        </w:tc>
        <w:tc>
          <w:tcPr>
            <w:tcW w:w="284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800" w:type="dxa"/>
            <w:vAlign w:val="bottom"/>
            <w:tcBorders>
              <w:left w:val="single" w:sz="8" w:color="00000A"/>
              <w:bottom w:val="single" w:sz="8" w:color="00000A"/>
              <w:right w:val="single" w:sz="8" w:color="00000A"/>
            </w:tcBorders>
          </w:tcPr>
          <w:p>
            <w:pPr>
              <w:spacing w:after="0"/>
              <w:rPr>
                <w:sz w:val="17"/>
                <w:szCs w:val="17"/>
                <w:color w:val="auto"/>
              </w:rPr>
            </w:pPr>
          </w:p>
        </w:tc>
        <w:tc>
          <w:tcPr>
            <w:tcW w:w="2300" w:type="dxa"/>
            <w:vAlign w:val="bottom"/>
            <w:tcBorders>
              <w:bottom w:val="single" w:sz="8" w:color="00000A"/>
              <w:right w:val="single" w:sz="8" w:color="00000A"/>
            </w:tcBorders>
          </w:tcPr>
          <w:p>
            <w:pPr>
              <w:spacing w:after="0"/>
              <w:rPr>
                <w:sz w:val="17"/>
                <w:szCs w:val="17"/>
                <w:color w:val="auto"/>
              </w:rPr>
            </w:pPr>
          </w:p>
        </w:tc>
        <w:tc>
          <w:tcPr>
            <w:tcW w:w="2500" w:type="dxa"/>
            <w:vAlign w:val="bottom"/>
            <w:tcBorders>
              <w:bottom w:val="single" w:sz="8" w:color="00000A"/>
              <w:right w:val="single" w:sz="8" w:color="00000A"/>
            </w:tcBorders>
          </w:tcPr>
          <w:p>
            <w:pPr>
              <w:spacing w:after="0"/>
              <w:rPr>
                <w:sz w:val="17"/>
                <w:szCs w:val="17"/>
                <w:color w:val="auto"/>
              </w:rPr>
            </w:pPr>
          </w:p>
        </w:tc>
        <w:tc>
          <w:tcPr>
            <w:tcW w:w="2840" w:type="dxa"/>
            <w:vAlign w:val="bottom"/>
            <w:tcBorders>
              <w:bottom w:val="single" w:sz="8" w:color="00000A"/>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Pacific Oceanside Holdings LLC</w:t>
            </w:r>
          </w:p>
        </w:tc>
        <w:tc>
          <w:tcPr>
            <w:tcW w:w="23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09-720959113</w:t>
            </w:r>
          </w:p>
        </w:tc>
        <w:tc>
          <w:tcPr>
            <w:tcW w:w="2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California Secretary of</w:t>
            </w:r>
          </w:p>
        </w:tc>
        <w:tc>
          <w:tcPr>
            <w:tcW w:w="284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Equipment Lease Filing</w:t>
            </w:r>
          </w:p>
        </w:tc>
        <w:tc>
          <w:tcPr>
            <w:tcW w:w="0" w:type="dxa"/>
            <w:vAlign w:val="bottom"/>
          </w:tcPr>
          <w:p>
            <w:pPr>
              <w:spacing w:after="0"/>
              <w:rPr>
                <w:sz w:val="1"/>
                <w:szCs w:val="1"/>
                <w:color w:val="auto"/>
              </w:rPr>
            </w:pPr>
          </w:p>
        </w:tc>
      </w:tr>
      <w:tr>
        <w:trPr>
          <w:trHeight w:val="50"/>
        </w:trPr>
        <w:tc>
          <w:tcPr>
            <w:tcW w:w="3800" w:type="dxa"/>
            <w:vAlign w:val="bottom"/>
            <w:tcBorders>
              <w:left w:val="single" w:sz="8" w:color="00000A"/>
              <w:right w:val="single" w:sz="8" w:color="00000A"/>
            </w:tcBorders>
          </w:tcPr>
          <w:p>
            <w:pPr>
              <w:spacing w:after="0"/>
              <w:rPr>
                <w:sz w:val="4"/>
                <w:szCs w:val="4"/>
                <w:color w:val="auto"/>
              </w:rPr>
            </w:pPr>
          </w:p>
        </w:tc>
        <w:tc>
          <w:tcPr>
            <w:tcW w:w="2300" w:type="dxa"/>
            <w:vAlign w:val="bottom"/>
            <w:tcBorders>
              <w:right w:val="single" w:sz="8" w:color="00000A"/>
            </w:tcBorders>
            <w:vMerge w:val="continue"/>
          </w:tcPr>
          <w:p>
            <w:pPr>
              <w:spacing w:after="0"/>
              <w:rPr>
                <w:sz w:val="4"/>
                <w:szCs w:val="4"/>
                <w:color w:val="auto"/>
              </w:rPr>
            </w:pPr>
          </w:p>
        </w:tc>
        <w:tc>
          <w:tcPr>
            <w:tcW w:w="2500" w:type="dxa"/>
            <w:vAlign w:val="bottom"/>
            <w:tcBorders>
              <w:right w:val="single" w:sz="8" w:color="00000A"/>
            </w:tcBorders>
            <w:vMerge w:val="continue"/>
          </w:tcPr>
          <w:p>
            <w:pPr>
              <w:spacing w:after="0"/>
              <w:rPr>
                <w:sz w:val="4"/>
                <w:szCs w:val="4"/>
                <w:color w:val="auto"/>
              </w:rPr>
            </w:pPr>
          </w:p>
        </w:tc>
        <w:tc>
          <w:tcPr>
            <w:tcW w:w="284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800" w:type="dxa"/>
            <w:vAlign w:val="bottom"/>
            <w:tcBorders>
              <w:left w:val="single" w:sz="8" w:color="00000A"/>
              <w:right w:val="single" w:sz="8" w:color="00000A"/>
            </w:tcBorders>
          </w:tcPr>
          <w:p>
            <w:pPr>
              <w:spacing w:after="0"/>
              <w:rPr>
                <w:sz w:val="23"/>
                <w:szCs w:val="23"/>
                <w:color w:val="auto"/>
              </w:rPr>
            </w:pPr>
          </w:p>
        </w:tc>
        <w:tc>
          <w:tcPr>
            <w:tcW w:w="2300" w:type="dxa"/>
            <w:vAlign w:val="bottom"/>
            <w:tcBorders>
              <w:right w:val="single" w:sz="8" w:color="00000A"/>
            </w:tcBorders>
          </w:tcPr>
          <w:p>
            <w:pPr>
              <w:spacing w:after="0"/>
              <w:rPr>
                <w:sz w:val="23"/>
                <w:szCs w:val="23"/>
                <w:color w:val="auto"/>
              </w:rPr>
            </w:pPr>
          </w:p>
        </w:tc>
        <w:tc>
          <w:tcPr>
            <w:tcW w:w="25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1"/>
              </w:rPr>
              <w:t>State</w:t>
            </w:r>
          </w:p>
        </w:tc>
        <w:tc>
          <w:tcPr>
            <w:tcW w:w="284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800" w:type="dxa"/>
            <w:vAlign w:val="bottom"/>
            <w:tcBorders>
              <w:left w:val="single" w:sz="8" w:color="00000A"/>
              <w:bottom w:val="single" w:sz="8" w:color="00000A"/>
              <w:right w:val="single" w:sz="8" w:color="00000A"/>
            </w:tcBorders>
          </w:tcPr>
          <w:p>
            <w:pPr>
              <w:spacing w:after="0"/>
              <w:rPr>
                <w:sz w:val="17"/>
                <w:szCs w:val="17"/>
                <w:color w:val="auto"/>
              </w:rPr>
            </w:pPr>
          </w:p>
        </w:tc>
        <w:tc>
          <w:tcPr>
            <w:tcW w:w="2300" w:type="dxa"/>
            <w:vAlign w:val="bottom"/>
            <w:tcBorders>
              <w:bottom w:val="single" w:sz="8" w:color="00000A"/>
              <w:right w:val="single" w:sz="8" w:color="00000A"/>
            </w:tcBorders>
          </w:tcPr>
          <w:p>
            <w:pPr>
              <w:spacing w:after="0"/>
              <w:rPr>
                <w:sz w:val="17"/>
                <w:szCs w:val="17"/>
                <w:color w:val="auto"/>
              </w:rPr>
            </w:pPr>
          </w:p>
        </w:tc>
        <w:tc>
          <w:tcPr>
            <w:tcW w:w="2500" w:type="dxa"/>
            <w:vAlign w:val="bottom"/>
            <w:tcBorders>
              <w:bottom w:val="single" w:sz="8" w:color="00000A"/>
              <w:right w:val="single" w:sz="8" w:color="00000A"/>
            </w:tcBorders>
          </w:tcPr>
          <w:p>
            <w:pPr>
              <w:spacing w:after="0"/>
              <w:rPr>
                <w:sz w:val="17"/>
                <w:szCs w:val="17"/>
                <w:color w:val="auto"/>
              </w:rPr>
            </w:pPr>
          </w:p>
        </w:tc>
        <w:tc>
          <w:tcPr>
            <w:tcW w:w="2840" w:type="dxa"/>
            <w:vAlign w:val="bottom"/>
            <w:tcBorders>
              <w:bottom w:val="single" w:sz="8" w:color="00000A"/>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814"/>
        </w:trPr>
        <w:tc>
          <w:tcPr>
            <w:tcW w:w="3800" w:type="dxa"/>
            <w:vAlign w:val="bottom"/>
          </w:tcPr>
          <w:p>
            <w:pPr>
              <w:spacing w:after="0"/>
              <w:rPr>
                <w:sz w:val="24"/>
                <w:szCs w:val="24"/>
                <w:color w:val="auto"/>
              </w:rPr>
            </w:pPr>
          </w:p>
        </w:tc>
        <w:tc>
          <w:tcPr>
            <w:tcW w:w="4800" w:type="dxa"/>
            <w:vAlign w:val="bottom"/>
            <w:gridSpan w:val="2"/>
          </w:tcPr>
          <w:p>
            <w:pPr>
              <w:jc w:val="center"/>
              <w:ind w:right="912"/>
              <w:spacing w:after="0"/>
              <w:rPr>
                <w:sz w:val="20"/>
                <w:szCs w:val="20"/>
                <w:color w:val="auto"/>
              </w:rPr>
            </w:pPr>
            <w:r>
              <w:rPr>
                <w:rFonts w:ascii="Arial" w:cs="Arial" w:eastAsia="Arial" w:hAnsi="Arial"/>
                <w:sz w:val="22"/>
                <w:szCs w:val="22"/>
                <w:color w:val="auto"/>
                <w:w w:val="92"/>
              </w:rPr>
              <w:t>SCHEDULE 10.4(m)</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0" w:type="dxa"/>
            <w:vAlign w:val="bottom"/>
          </w:tcPr>
          <w:p>
            <w:pPr>
              <w:spacing w:after="0"/>
              <w:rPr>
                <w:sz w:val="24"/>
                <w:szCs w:val="24"/>
                <w:color w:val="auto"/>
              </w:rPr>
            </w:pPr>
          </w:p>
        </w:tc>
        <w:tc>
          <w:tcPr>
            <w:tcW w:w="4800" w:type="dxa"/>
            <w:vAlign w:val="bottom"/>
            <w:gridSpan w:val="2"/>
          </w:tcPr>
          <w:p>
            <w:pPr>
              <w:jc w:val="center"/>
              <w:ind w:right="852"/>
              <w:spacing w:after="0"/>
              <w:rPr>
                <w:sz w:val="20"/>
                <w:szCs w:val="20"/>
                <w:color w:val="auto"/>
              </w:rPr>
            </w:pPr>
            <w:r>
              <w:rPr>
                <w:rFonts w:ascii="Arial" w:cs="Arial" w:eastAsia="Arial" w:hAnsi="Arial"/>
                <w:sz w:val="22"/>
                <w:szCs w:val="22"/>
                <w:color w:val="auto"/>
                <w:w w:val="88"/>
              </w:rPr>
              <w:t>(to Note Purchase Agreement)</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79" w:right="219" w:bottom="1440" w:gutter="0" w:footer="0" w:header="0"/>
        </w:sectPr>
      </w:pPr>
    </w:p>
    <w:bookmarkStart w:id="150" w:name="page151"/>
    <w:bookmarkEnd w:id="150"/>
    <w:p>
      <w:pPr>
        <w:jc w:val="center"/>
        <w:ind w:right="-20"/>
        <w:spacing w:after="0"/>
        <w:rPr>
          <w:sz w:val="20"/>
          <w:szCs w:val="20"/>
          <w:color w:val="auto"/>
        </w:rPr>
      </w:pPr>
      <w:r>
        <w:rPr>
          <w:rFonts w:ascii="Arial" w:cs="Arial" w:eastAsia="Arial" w:hAnsi="Arial"/>
          <w:sz w:val="22"/>
          <w:szCs w:val="22"/>
          <w:b w:val="1"/>
          <w:bCs w:val="1"/>
          <w:color w:val="auto"/>
        </w:rPr>
        <w:t>INVESTMENTS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SCHEDULE 10.6(j)</w:t>
      </w:r>
    </w:p>
    <w:p>
      <w:pPr>
        <w:spacing w:after="0" w:line="44"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(to Note Purchase Agreement)</w:t>
      </w:r>
    </w:p>
    <w:p>
      <w:pPr>
        <w:sectPr>
          <w:pgSz w:w="11900" w:h="16838" w:orient="portrait"/>
          <w:cols w:equalWidth="0" w:num="1">
            <w:col w:w="9019"/>
          </w:cols>
          <w:pgMar w:left="1440" w:top="976" w:right="1440" w:bottom="1440" w:gutter="0" w:footer="0" w:header="0"/>
        </w:sectPr>
      </w:pPr>
    </w:p>
    <w:bookmarkStart w:id="151" w:name="page152"/>
    <w:bookmarkEnd w:id="151"/>
    <w:p>
      <w:pPr>
        <w:jc w:val="center"/>
        <w:ind w:right="-171"/>
        <w:spacing w:after="0"/>
        <w:rPr>
          <w:sz w:val="20"/>
          <w:szCs w:val="20"/>
          <w:color w:val="auto"/>
        </w:rPr>
      </w:pPr>
      <w:r>
        <w:rPr>
          <w:rFonts w:ascii="Arial" w:cs="Arial" w:eastAsia="Arial" w:hAnsi="Arial"/>
          <w:sz w:val="22"/>
          <w:szCs w:val="22"/>
          <w:b w:val="1"/>
          <w:bCs w:val="1"/>
          <w:color w:val="auto"/>
        </w:rPr>
        <w:t>AMERICAN ASSETS TRUST, L.P.</w:t>
      </w:r>
    </w:p>
    <w:p>
      <w:pPr>
        <w:spacing w:after="0" w:line="44" w:lineRule="exact"/>
        <w:rPr>
          <w:sz w:val="20"/>
          <w:szCs w:val="20"/>
          <w:color w:val="auto"/>
        </w:rPr>
      </w:pPr>
    </w:p>
    <w:p>
      <w:pPr>
        <w:jc w:val="center"/>
        <w:ind w:right="-171"/>
        <w:spacing w:after="0"/>
        <w:rPr>
          <w:sz w:val="20"/>
          <w:szCs w:val="20"/>
          <w:color w:val="auto"/>
        </w:rPr>
      </w:pPr>
      <w:r>
        <w:rPr>
          <w:rFonts w:ascii="Arial" w:cs="Arial" w:eastAsia="Arial" w:hAnsi="Arial"/>
          <w:sz w:val="22"/>
          <w:szCs w:val="22"/>
          <w:b w:val="1"/>
          <w:bCs w:val="1"/>
          <w:color w:val="auto"/>
        </w:rPr>
        <w:t>11455 EL CAMINO REAL, SUITE 200</w:t>
      </w:r>
    </w:p>
    <w:p>
      <w:pPr>
        <w:spacing w:after="0" w:line="44" w:lineRule="exact"/>
        <w:rPr>
          <w:sz w:val="20"/>
          <w:szCs w:val="20"/>
          <w:color w:val="auto"/>
        </w:rPr>
      </w:pPr>
    </w:p>
    <w:p>
      <w:pPr>
        <w:jc w:val="center"/>
        <w:ind w:right="-211"/>
        <w:spacing w:after="0"/>
        <w:rPr>
          <w:sz w:val="20"/>
          <w:szCs w:val="20"/>
          <w:color w:val="auto"/>
        </w:rPr>
      </w:pPr>
      <w:r>
        <w:rPr>
          <w:rFonts w:ascii="Arial" w:cs="Arial" w:eastAsia="Arial" w:hAnsi="Arial"/>
          <w:sz w:val="22"/>
          <w:szCs w:val="22"/>
          <w:b w:val="1"/>
          <w:bCs w:val="1"/>
          <w:color w:val="auto"/>
        </w:rPr>
        <w:t>SAN DIEGO, CALIFORNIA 92130</w:t>
      </w:r>
    </w:p>
    <w:p>
      <w:pPr>
        <w:spacing w:after="0" w:line="341" w:lineRule="exact"/>
        <w:rPr>
          <w:sz w:val="20"/>
          <w:szCs w:val="20"/>
          <w:color w:val="auto"/>
        </w:rPr>
      </w:pPr>
    </w:p>
    <w:p>
      <w:pPr>
        <w:jc w:val="center"/>
        <w:ind w:right="-211"/>
        <w:spacing w:after="0"/>
        <w:rPr>
          <w:sz w:val="20"/>
          <w:szCs w:val="20"/>
          <w:color w:val="auto"/>
        </w:rPr>
      </w:pPr>
      <w:r>
        <w:rPr>
          <w:rFonts w:ascii="Arial" w:cs="Arial" w:eastAsia="Arial" w:hAnsi="Arial"/>
          <w:sz w:val="21"/>
          <w:szCs w:val="21"/>
          <w:b w:val="1"/>
          <w:bCs w:val="1"/>
          <w:color w:val="auto"/>
        </w:rPr>
        <w:t>INFORMATION RELATING TO PURCHASERS</w:t>
      </w:r>
    </w:p>
    <w:p>
      <w:pPr>
        <w:sectPr>
          <w:pgSz w:w="11900" w:h="16838" w:orient="portrait"/>
          <w:cols w:equalWidth="0" w:num="1">
            <w:col w:w="11192"/>
          </w:cols>
          <w:pgMar w:left="248" w:top="97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32"/>
        <w:spacing w:after="0"/>
        <w:rPr>
          <w:sz w:val="20"/>
          <w:szCs w:val="20"/>
          <w:color w:val="auto"/>
        </w:rPr>
      </w:pPr>
      <w:r>
        <w:rPr>
          <w:rFonts w:ascii="Arial" w:cs="Arial" w:eastAsia="Arial" w:hAnsi="Arial"/>
          <w:sz w:val="19"/>
          <w:szCs w:val="19"/>
          <w:color w:val="auto"/>
        </w:rPr>
        <w:t>Name and Address of Purchaser</w:t>
      </w:r>
    </w:p>
    <w:p>
      <w:pPr>
        <w:spacing w:after="0" w:line="316" w:lineRule="exact"/>
        <w:rPr>
          <w:sz w:val="20"/>
          <w:szCs w:val="20"/>
          <w:color w:val="auto"/>
        </w:rPr>
      </w:pPr>
    </w:p>
    <w:p>
      <w:pPr>
        <w:ind w:left="32" w:right="1940"/>
        <w:spacing w:after="0" w:line="236" w:lineRule="auto"/>
        <w:rPr>
          <w:sz w:val="20"/>
          <w:szCs w:val="20"/>
          <w:color w:val="auto"/>
        </w:rPr>
      </w:pPr>
      <w:r>
        <w:rPr>
          <w:rFonts w:ascii="Arial" w:cs="Arial" w:eastAsia="Arial" w:hAnsi="Arial"/>
          <w:sz w:val="22"/>
          <w:szCs w:val="22"/>
          <w:b w:val="1"/>
          <w:bCs w:val="1"/>
          <w:color w:val="auto"/>
        </w:rPr>
        <w:t xml:space="preserve">TRANSAMERICA LIFE INSURANCE COMPANY </w:t>
      </w:r>
      <w:r>
        <w:rPr>
          <w:rFonts w:ascii="Arial" w:cs="Arial" w:eastAsia="Arial" w:hAnsi="Arial"/>
          <w:sz w:val="22"/>
          <w:szCs w:val="22"/>
          <w:color w:val="auto"/>
        </w:rPr>
        <w:t>c/o AEGON USA Investment Management, LLC Attn: Custody Operations-Privates MS 5335 4333 Edgewood Road NE</w:t>
      </w:r>
    </w:p>
    <w:p>
      <w:pPr>
        <w:spacing w:after="0" w:line="1" w:lineRule="exact"/>
        <w:rPr>
          <w:sz w:val="20"/>
          <w:szCs w:val="20"/>
          <w:color w:val="auto"/>
        </w:rPr>
      </w:pPr>
    </w:p>
    <w:p>
      <w:pPr>
        <w:ind w:left="32"/>
        <w:spacing w:after="0"/>
        <w:rPr>
          <w:sz w:val="20"/>
          <w:szCs w:val="20"/>
          <w:color w:val="auto"/>
        </w:rPr>
      </w:pPr>
      <w:r>
        <w:rPr>
          <w:rFonts w:ascii="Arial" w:cs="Arial" w:eastAsia="Arial" w:hAnsi="Arial"/>
          <w:sz w:val="22"/>
          <w:szCs w:val="22"/>
          <w:color w:val="auto"/>
        </w:rPr>
        <w:t>Cedar Rapids, IA 52499-5335</w:t>
      </w:r>
    </w:p>
    <w:p>
      <w:pPr>
        <w:spacing w:after="0" w:line="269" w:lineRule="exact"/>
        <w:rPr>
          <w:sz w:val="20"/>
          <w:szCs w:val="20"/>
          <w:color w:val="auto"/>
        </w:rPr>
      </w:pPr>
    </w:p>
    <w:p>
      <w:pPr>
        <w:ind w:left="452" w:hanging="452"/>
        <w:spacing w:after="0"/>
        <w:tabs>
          <w:tab w:leader="none" w:pos="45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Wire of payment due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Principal Amount and Series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of Notes to Be Purchased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00" w:type="dxa"/>
            <w:vAlign w:val="bottom"/>
          </w:tcPr>
          <w:p>
            <w:pPr>
              <w:spacing w:after="0"/>
              <w:rPr>
                <w:sz w:val="20"/>
                <w:szCs w:val="20"/>
                <w:color w:val="auto"/>
              </w:rPr>
            </w:pPr>
            <w:r>
              <w:rPr>
                <w:rFonts w:ascii="Arial" w:cs="Arial" w:eastAsia="Arial" w:hAnsi="Arial"/>
                <w:sz w:val="22"/>
                <w:szCs w:val="22"/>
                <w:color w:val="auto"/>
              </w:rPr>
              <w:t>Series A</w:t>
            </w:r>
          </w:p>
        </w:tc>
        <w:tc>
          <w:tcPr>
            <w:tcW w:w="2100" w:type="dxa"/>
            <w:vAlign w:val="bottom"/>
          </w:tcPr>
          <w:p>
            <w:pPr>
              <w:ind w:left="580"/>
              <w:spacing w:after="0"/>
              <w:rPr>
                <w:sz w:val="20"/>
                <w:szCs w:val="20"/>
                <w:color w:val="auto"/>
              </w:rPr>
            </w:pPr>
            <w:r>
              <w:rPr>
                <w:rFonts w:ascii="Arial" w:cs="Arial" w:eastAsia="Arial" w:hAnsi="Arial"/>
                <w:sz w:val="22"/>
                <w:szCs w:val="22"/>
                <w:color w:val="auto"/>
                <w:w w:val="87"/>
              </w:rPr>
              <w:t>U.S. $10,000,000</w:t>
            </w:r>
          </w:p>
        </w:tc>
      </w:tr>
    </w:tbl>
    <w:p>
      <w:pPr>
        <w:spacing w:after="0" w:line="1718" w:lineRule="exact"/>
        <w:rPr>
          <w:sz w:val="20"/>
          <w:szCs w:val="20"/>
          <w:color w:val="auto"/>
        </w:rPr>
      </w:pPr>
    </w:p>
    <w:p>
      <w:pPr>
        <w:sectPr>
          <w:pgSz w:w="11900" w:h="16838" w:orient="portrait"/>
          <w:cols w:equalWidth="0" w:num="2">
            <w:col w:w="6812" w:space="720"/>
            <w:col w:w="3660"/>
          </w:cols>
          <w:pgMar w:left="248" w:top="976" w:right="459" w:bottom="1440" w:gutter="0" w:footer="0" w:header="0"/>
          <w:type w:val="continuous"/>
        </w:sectPr>
      </w:pPr>
    </w:p>
    <w:p>
      <w:pPr>
        <w:spacing w:after="0" w:line="81" w:lineRule="exact"/>
        <w:rPr>
          <w:sz w:val="20"/>
          <w:szCs w:val="20"/>
          <w:color w:val="auto"/>
        </w:rPr>
      </w:pPr>
    </w:p>
    <w:p>
      <w:pPr>
        <w:ind w:left="652"/>
        <w:spacing w:after="0"/>
        <w:rPr>
          <w:sz w:val="20"/>
          <w:szCs w:val="20"/>
          <w:color w:val="auto"/>
        </w:rPr>
      </w:pPr>
      <w:r>
        <w:rPr>
          <w:rFonts w:ascii="Arial" w:cs="Arial" w:eastAsia="Arial" w:hAnsi="Arial"/>
          <w:sz w:val="19"/>
          <w:szCs w:val="19"/>
          <w:color w:val="auto"/>
        </w:rPr>
        <w:t xml:space="preserve">All payments on account of the TRANSAMERICA LIFE INSURANCE COMPANY </w:t>
      </w:r>
      <w:r>
        <w:rPr>
          <w:rFonts w:ascii="Arial" w:cs="Arial" w:eastAsia="Arial" w:hAnsi="Arial"/>
          <w:sz w:val="19"/>
          <w:szCs w:val="19"/>
          <w:b w:val="1"/>
          <w:bCs w:val="1"/>
          <w:u w:val="single" w:color="auto"/>
          <w:color w:val="auto"/>
        </w:rPr>
        <w:t>shall be made by wire transfer to</w:t>
      </w:r>
      <w:r>
        <w:rPr>
          <w:rFonts w:ascii="Arial" w:cs="Arial" w:eastAsia="Arial" w:hAnsi="Arial"/>
          <w:sz w:val="19"/>
          <w:szCs w:val="19"/>
          <w:b w:val="1"/>
          <w:bCs w:val="1"/>
          <w:color w:val="auto"/>
        </w:rPr>
        <w:t>:</w:t>
      </w:r>
    </w:p>
    <w:p>
      <w:pPr>
        <w:spacing w:after="0" w:line="328"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Citibank, N.A.</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111 Wall Street</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New York, NY 10043 USA</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ABA #021000089</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DDA #36218394</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Custody Account No. 207842</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FFC: TLIC LPGL 07</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REFERENCE: CUSIP/PPN, PRINCIPAL &amp; INTEREST ALLOCATION</w:t>
      </w:r>
    </w:p>
    <w:p>
      <w:pPr>
        <w:spacing w:after="0" w:line="287" w:lineRule="exact"/>
        <w:rPr>
          <w:sz w:val="20"/>
          <w:szCs w:val="20"/>
          <w:color w:val="auto"/>
        </w:rPr>
      </w:pPr>
    </w:p>
    <w:p>
      <w:pPr>
        <w:ind w:left="432" w:hanging="432"/>
        <w:spacing w:after="0"/>
        <w:tabs>
          <w:tab w:leader="none" w:pos="432"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Payment notice</w:t>
      </w:r>
    </w:p>
    <w:p>
      <w:pPr>
        <w:spacing w:after="0" w:line="287" w:lineRule="exact"/>
        <w:rPr>
          <w:sz w:val="20"/>
          <w:szCs w:val="20"/>
          <w:color w:val="auto"/>
        </w:rPr>
      </w:pPr>
    </w:p>
    <w:p>
      <w:pPr>
        <w:ind w:left="652"/>
        <w:spacing w:after="0"/>
        <w:rPr>
          <w:sz w:val="20"/>
          <w:szCs w:val="20"/>
          <w:color w:val="auto"/>
        </w:rPr>
      </w:pPr>
      <w:r>
        <w:rPr>
          <w:rFonts w:ascii="Arial" w:cs="Arial" w:eastAsia="Arial" w:hAnsi="Arial"/>
          <w:sz w:val="19"/>
          <w:szCs w:val="19"/>
          <w:color w:val="auto"/>
        </w:rPr>
        <w:t xml:space="preserve">All notices/confirmation of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information should INCLUDE CUSIP/PPN in the Subject line and be sent to:</w:t>
      </w:r>
    </w:p>
    <w:p>
      <w:pPr>
        <w:spacing w:after="0" w:line="32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Email: paymentnotifications@aegonusa.com</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AEGON USA Investment Management, LLC</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Attn: Custody Operations-Privates MS 5335</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4333 Edgewood Road NE</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Cedar Rapids, IA 52499-5335</w:t>
      </w:r>
    </w:p>
    <w:p>
      <w:pPr>
        <w:spacing w:after="0" w:line="287" w:lineRule="exact"/>
        <w:rPr>
          <w:sz w:val="20"/>
          <w:szCs w:val="20"/>
          <w:color w:val="auto"/>
        </w:rPr>
      </w:pPr>
    </w:p>
    <w:p>
      <w:pPr>
        <w:jc w:val="center"/>
        <w:ind w:right="-171"/>
        <w:spacing w:after="0"/>
        <w:rPr>
          <w:sz w:val="20"/>
          <w:szCs w:val="20"/>
          <w:color w:val="auto"/>
        </w:rPr>
      </w:pPr>
      <w:r>
        <w:rPr>
          <w:rFonts w:ascii="Arial" w:cs="Arial" w:eastAsia="Arial" w:hAnsi="Arial"/>
          <w:sz w:val="22"/>
          <w:szCs w:val="22"/>
          <w:color w:val="auto"/>
        </w:rPr>
        <w:t>SCHEDULE B</w:t>
      </w:r>
    </w:p>
    <w:p>
      <w:pPr>
        <w:spacing w:after="0" w:line="44"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192"/>
          </w:cols>
          <w:pgMar w:left="248" w:top="976" w:right="459" w:bottom="1440" w:gutter="0" w:footer="0" w:header="0"/>
          <w:type w:val="continuous"/>
        </w:sectPr>
      </w:pPr>
    </w:p>
    <w:bookmarkStart w:id="152" w:name="page153"/>
    <w:bookmarkEnd w:id="152"/>
    <w:p>
      <w:pPr>
        <w:ind w:left="2200"/>
        <w:spacing w:after="0"/>
        <w:rPr>
          <w:sz w:val="20"/>
          <w:szCs w:val="20"/>
          <w:color w:val="auto"/>
        </w:rPr>
      </w:pPr>
      <w:r>
        <w:rPr>
          <w:rFonts w:ascii="Arial" w:cs="Arial" w:eastAsia="Arial" w:hAnsi="Arial"/>
          <w:sz w:val="22"/>
          <w:szCs w:val="22"/>
          <w:b w:val="1"/>
          <w:bCs w:val="1"/>
          <w:color w:val="auto"/>
        </w:rPr>
        <w:t>FINANCIALS, LEGAL, PRE-PAYMENT AND OTHER NOTIFICATIONS</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 w:type="dxa"/>
            <w:vAlign w:val="bottom"/>
          </w:tcPr>
          <w:p>
            <w:pPr>
              <w:spacing w:after="0"/>
              <w:rPr>
                <w:sz w:val="21"/>
                <w:szCs w:val="21"/>
                <w:color w:val="auto"/>
              </w:rPr>
            </w:pPr>
          </w:p>
        </w:tc>
        <w:tc>
          <w:tcPr>
            <w:tcW w:w="5680" w:type="dxa"/>
            <w:vAlign w:val="bottom"/>
            <w:gridSpan w:val="4"/>
          </w:tcPr>
          <w:p>
            <w:pPr>
              <w:ind w:left="11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 Routine correspondence and reporting:</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spacing w:after="0"/>
              <w:rPr>
                <w:sz w:val="21"/>
                <w:szCs w:val="21"/>
                <w:color w:val="auto"/>
              </w:rPr>
            </w:pPr>
          </w:p>
        </w:tc>
      </w:tr>
      <w:tr>
        <w:trPr>
          <w:trHeight w:val="20"/>
        </w:trPr>
        <w:tc>
          <w:tcPr>
            <w:tcW w:w="180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6"/>
        </w:trPr>
        <w:tc>
          <w:tcPr>
            <w:tcW w:w="584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c>
          <w:tcPr>
            <w:tcW w:w="4920" w:type="dxa"/>
            <w:vAlign w:val="bottom"/>
            <w:gridSpan w:val="2"/>
          </w:tcPr>
          <w:p>
            <w:pPr>
              <w:ind w:left="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Attn: Director of Private Placements MS 5335</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Attn: Director of Private Placements, MS 3341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4333 Edgewood Road N.E.</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100 Light Street, B1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Cedar Rapids, IA 52499-5335</w:t>
            </w:r>
          </w:p>
        </w:tc>
        <w:tc>
          <w:tcPr>
            <w:tcW w:w="1100" w:type="dxa"/>
            <w:vAlign w:val="bottom"/>
          </w:tcPr>
          <w:p>
            <w:pPr>
              <w:ind w:left="940"/>
              <w:spacing w:after="0" w:line="243" w:lineRule="exact"/>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Baltimore, MD 21202-2559</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(319) 355-2432 | F (319) 355-2666</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(443) 475-3130 F (443) 475-3095</w:t>
            </w:r>
          </w:p>
        </w:tc>
      </w:tr>
      <w:tr>
        <w:trPr>
          <w:trHeight w:val="275"/>
        </w:trPr>
        <w:tc>
          <w:tcPr>
            <w:tcW w:w="160" w:type="dxa"/>
            <w:vAlign w:val="bottom"/>
          </w:tcPr>
          <w:p>
            <w:pPr>
              <w:spacing w:after="0"/>
              <w:rPr>
                <w:sz w:val="20"/>
                <w:szCs w:val="20"/>
                <w:color w:val="auto"/>
              </w:rPr>
            </w:pPr>
            <w:r>
              <w:rPr>
                <w:rFonts w:ascii="Arial" w:cs="Arial" w:eastAsia="Arial" w:hAnsi="Arial"/>
                <w:sz w:val="22"/>
                <w:szCs w:val="22"/>
                <w:color w:val="auto"/>
              </w:rPr>
              <w:t>•</w:t>
            </w:r>
          </w:p>
        </w:tc>
        <w:tc>
          <w:tcPr>
            <w:tcW w:w="5680" w:type="dxa"/>
            <w:vAlign w:val="bottom"/>
            <w:gridSpan w:val="4"/>
          </w:tcPr>
          <w:p>
            <w:pPr>
              <w:ind w:left="100"/>
              <w:spacing w:after="0"/>
              <w:rPr>
                <w:sz w:val="20"/>
                <w:szCs w:val="20"/>
                <w:color w:val="auto"/>
              </w:rPr>
            </w:pPr>
            <w:r>
              <w:rPr>
                <w:rFonts w:ascii="Arial" w:cs="Arial" w:eastAsia="Arial" w:hAnsi="Arial"/>
                <w:sz w:val="20"/>
                <w:szCs w:val="20"/>
                <w:color w:val="auto"/>
              </w:rPr>
              <w:t>privateplacements@aegonusa.com</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privateplacements@aegonusa.com</w:t>
            </w:r>
          </w:p>
        </w:tc>
      </w:tr>
      <w:tr>
        <w:trPr>
          <w:trHeight w:val="247"/>
        </w:trPr>
        <w:tc>
          <w:tcPr>
            <w:tcW w:w="160" w:type="dxa"/>
            <w:vAlign w:val="bottom"/>
          </w:tcPr>
          <w:p>
            <w:pPr>
              <w:spacing w:after="0"/>
              <w:rPr>
                <w:sz w:val="21"/>
                <w:szCs w:val="21"/>
                <w:color w:val="auto"/>
              </w:rPr>
            </w:pPr>
          </w:p>
        </w:tc>
        <w:tc>
          <w:tcPr>
            <w:tcW w:w="5680" w:type="dxa"/>
            <w:vAlign w:val="bottom"/>
            <w:gridSpan w:val="4"/>
          </w:tcPr>
          <w:p>
            <w:pPr>
              <w:ind w:left="1140"/>
              <w:spacing w:after="0" w:line="246"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B) Legal/Closing Documents:</w:t>
            </w:r>
          </w:p>
        </w:tc>
        <w:tc>
          <w:tcPr>
            <w:tcW w:w="1100" w:type="dxa"/>
            <w:vAlign w:val="bottom"/>
          </w:tcPr>
          <w:p>
            <w:pPr>
              <w:ind w:left="940"/>
              <w:spacing w:after="0" w:line="246" w:lineRule="exact"/>
              <w:rPr>
                <w:sz w:val="20"/>
                <w:szCs w:val="20"/>
                <w:color w:val="auto"/>
              </w:rPr>
            </w:pPr>
            <w:r>
              <w:rPr>
                <w:rFonts w:ascii="Arial" w:cs="Arial" w:eastAsia="Arial" w:hAnsi="Arial"/>
                <w:sz w:val="22"/>
                <w:szCs w:val="22"/>
                <w:color w:val="auto"/>
              </w:rPr>
              <w:t>•</w:t>
            </w:r>
          </w:p>
        </w:tc>
        <w:tc>
          <w:tcPr>
            <w:tcW w:w="3820" w:type="dxa"/>
            <w:vAlign w:val="bottom"/>
          </w:tcPr>
          <w:p>
            <w:pPr>
              <w:spacing w:after="0"/>
              <w:rPr>
                <w:sz w:val="21"/>
                <w:szCs w:val="21"/>
                <w:color w:val="auto"/>
              </w:rPr>
            </w:pPr>
          </w:p>
        </w:tc>
      </w:tr>
      <w:tr>
        <w:trPr>
          <w:trHeight w:val="20"/>
        </w:trPr>
        <w:tc>
          <w:tcPr>
            <w:tcW w:w="180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6"/>
        </w:trPr>
        <w:tc>
          <w:tcPr>
            <w:tcW w:w="584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c>
          <w:tcPr>
            <w:tcW w:w="4920" w:type="dxa"/>
            <w:vAlign w:val="bottom"/>
            <w:gridSpan w:val="2"/>
          </w:tcPr>
          <w:p>
            <w:pPr>
              <w:ind w:left="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Attn: Director of Private Placements MS 5335</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Attn: Director of Private Placements, MS 3341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4333 Edgewood Road N.E.</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100 Light Street, B1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Cedar Rapids, IA 52499-5335</w:t>
            </w:r>
          </w:p>
        </w:tc>
        <w:tc>
          <w:tcPr>
            <w:tcW w:w="1100" w:type="dxa"/>
            <w:vAlign w:val="bottom"/>
          </w:tcPr>
          <w:p>
            <w:pPr>
              <w:ind w:left="940"/>
              <w:spacing w:after="0" w:line="243" w:lineRule="exact"/>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Baltimore, MD 21202-2559</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(319) 355-2432 | F (319) 355-2666</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(443) 475-3130 F (443) 475-3095</w:t>
            </w:r>
          </w:p>
        </w:tc>
      </w:tr>
      <w:tr>
        <w:trPr>
          <w:trHeight w:val="275"/>
        </w:trPr>
        <w:tc>
          <w:tcPr>
            <w:tcW w:w="160" w:type="dxa"/>
            <w:vAlign w:val="bottom"/>
          </w:tcPr>
          <w:p>
            <w:pPr>
              <w:spacing w:after="0"/>
              <w:rPr>
                <w:sz w:val="20"/>
                <w:szCs w:val="20"/>
                <w:color w:val="auto"/>
              </w:rPr>
            </w:pPr>
            <w:r>
              <w:rPr>
                <w:rFonts w:ascii="Arial" w:cs="Arial" w:eastAsia="Arial" w:hAnsi="Arial"/>
                <w:sz w:val="22"/>
                <w:szCs w:val="22"/>
                <w:color w:val="auto"/>
              </w:rPr>
              <w:t>•</w:t>
            </w:r>
          </w:p>
        </w:tc>
        <w:tc>
          <w:tcPr>
            <w:tcW w:w="5680" w:type="dxa"/>
            <w:vAlign w:val="bottom"/>
            <w:gridSpan w:val="4"/>
          </w:tcPr>
          <w:p>
            <w:pPr>
              <w:ind w:left="100"/>
              <w:spacing w:after="0"/>
              <w:rPr>
                <w:sz w:val="20"/>
                <w:szCs w:val="20"/>
                <w:color w:val="auto"/>
              </w:rPr>
            </w:pPr>
            <w:r>
              <w:rPr>
                <w:rFonts w:ascii="Arial" w:cs="Arial" w:eastAsia="Arial" w:hAnsi="Arial"/>
                <w:sz w:val="20"/>
                <w:szCs w:val="20"/>
                <w:color w:val="auto"/>
              </w:rPr>
              <w:t>privateplacements@aegonusa.com</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privateplacements@aegonusa.com</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TAX ID #39-0989781</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i w:val="1"/>
          <w:iCs w:val="1"/>
          <w:color w:val="auto"/>
        </w:rPr>
        <w:t>ORIGINAL NOTE</w:t>
      </w:r>
    </w:p>
    <w:p>
      <w:pPr>
        <w:spacing w:after="0" w:line="242"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 signed copy of the Note </w:t>
      </w:r>
      <w:r>
        <w:rPr>
          <w:rFonts w:ascii="Arial" w:cs="Arial" w:eastAsia="Arial" w:hAnsi="Arial"/>
          <w:sz w:val="19"/>
          <w:szCs w:val="19"/>
          <w:b w:val="1"/>
          <w:bCs w:val="1"/>
          <w:i w:val="1"/>
          <w:iCs w:val="1"/>
          <w:u w:val="single" w:color="auto"/>
          <w:color w:val="auto"/>
        </w:rPr>
        <w:t>MUST</w:t>
      </w:r>
      <w:r>
        <w:rPr>
          <w:rFonts w:ascii="Arial" w:cs="Arial" w:eastAsia="Arial" w:hAnsi="Arial"/>
          <w:sz w:val="19"/>
          <w:szCs w:val="19"/>
          <w:i w:val="1"/>
          <w:iCs w:val="1"/>
          <w:color w:val="auto"/>
        </w:rPr>
        <w:t xml:space="preserve"> be sent to Custody Operations-Privates for verification via fax 888-652-8024 or email</w:t>
      </w:r>
    </w:p>
    <w:p>
      <w:pPr>
        <w:spacing w:after="0" w:line="78" w:lineRule="exact"/>
        <w:rPr>
          <w:rFonts w:ascii="Arial" w:cs="Arial" w:eastAsia="Arial" w:hAnsi="Arial"/>
          <w:sz w:val="19"/>
          <w:szCs w:val="19"/>
          <w:i w:val="1"/>
          <w:iCs w:val="1"/>
          <w:color w:val="auto"/>
        </w:rPr>
      </w:pPr>
    </w:p>
    <w:p>
      <w:pPr>
        <w:ind w:left="660"/>
        <w:spacing w:after="0"/>
        <w:rPr>
          <w:rFonts w:ascii="Arial" w:cs="Arial" w:eastAsia="Arial" w:hAnsi="Arial"/>
          <w:sz w:val="19"/>
          <w:szCs w:val="19"/>
          <w:i w:val="1"/>
          <w:iCs w:val="1"/>
          <w:color w:val="auto"/>
        </w:rPr>
      </w:pPr>
      <w:r>
        <w:rPr>
          <w:rFonts w:ascii="Arial" w:cs="Arial" w:eastAsia="Arial" w:hAnsi="Arial"/>
          <w:sz w:val="22"/>
          <w:szCs w:val="22"/>
          <w:b w:val="1"/>
          <w:bCs w:val="1"/>
          <w:i w:val="1"/>
          <w:iCs w:val="1"/>
          <w:u w:val="single" w:color="auto"/>
          <w:color w:val="auto"/>
        </w:rPr>
        <w:t>INVCustodyTeam@AEGONUSA.com</w:t>
      </w:r>
    </w:p>
    <w:p>
      <w:pPr>
        <w:spacing w:after="0" w:line="287" w:lineRule="exact"/>
        <w:rPr>
          <w:rFonts w:ascii="Arial" w:cs="Arial" w:eastAsia="Arial" w:hAnsi="Arial"/>
          <w:sz w:val="19"/>
          <w:szCs w:val="19"/>
          <w:i w:val="1"/>
          <w:iCs w:val="1"/>
          <w:color w:val="auto"/>
        </w:rPr>
      </w:pPr>
    </w:p>
    <w:p>
      <w:pPr>
        <w:ind w:left="660" w:right="180" w:hanging="652"/>
        <w:spacing w:after="0" w:line="302" w:lineRule="auto"/>
        <w:tabs>
          <w:tab w:leader="none" w:pos="660" w:val="left"/>
        </w:tabs>
        <w:numPr>
          <w:ilvl w:val="0"/>
          <w:numId w:val="112"/>
        </w:numPr>
        <w:rPr>
          <w:rFonts w:ascii="Arial" w:cs="Arial" w:eastAsia="Arial" w:hAnsi="Arial"/>
          <w:sz w:val="22"/>
          <w:szCs w:val="22"/>
          <w:i w:val="1"/>
          <w:iCs w:val="1"/>
          <w:color w:val="auto"/>
        </w:rPr>
      </w:pPr>
      <w:r>
        <w:rPr>
          <w:rFonts w:ascii="Arial" w:cs="Arial" w:eastAsia="Arial" w:hAnsi="Arial"/>
          <w:sz w:val="22"/>
          <w:szCs w:val="22"/>
          <w:i w:val="1"/>
          <w:iCs w:val="1"/>
          <w:color w:val="auto"/>
        </w:rPr>
        <w:t>Once the note has been verified, the Custody Bank Instructions will then be relayed to you via fax or email, which will contain the Custody Vault address where the original certificate needs to be sent.</w:t>
      </w:r>
    </w:p>
    <w:p>
      <w:pPr>
        <w:sectPr>
          <w:pgSz w:w="11900" w:h="16838" w:orient="portrait"/>
          <w:cols w:equalWidth="0" w:num="1">
            <w:col w:w="11040"/>
          </w:cols>
          <w:pgMar w:left="240" w:top="1179" w:right="619" w:bottom="1440" w:gutter="0" w:footer="0" w:header="0"/>
        </w:sectPr>
      </w:pPr>
    </w:p>
    <w:bookmarkStart w:id="153" w:name="page154"/>
    <w:bookmarkEnd w:id="153"/>
    <w:p>
      <w:pPr>
        <w:spacing w:after="0" w:line="243" w:lineRule="exact"/>
        <w:rPr>
          <w:sz w:val="20"/>
          <w:szCs w:val="20"/>
          <w:color w:val="auto"/>
        </w:rPr>
      </w:pPr>
    </w:p>
    <w:p>
      <w:pPr>
        <w:ind w:left="2032"/>
        <w:spacing w:after="0"/>
        <w:rPr>
          <w:sz w:val="20"/>
          <w:szCs w:val="20"/>
          <w:color w:val="auto"/>
        </w:rPr>
      </w:pPr>
      <w:r>
        <w:rPr>
          <w:rFonts w:ascii="Arial" w:cs="Arial" w:eastAsia="Arial" w:hAnsi="Arial"/>
          <w:sz w:val="19"/>
          <w:szCs w:val="19"/>
          <w:color w:val="auto"/>
        </w:rPr>
        <w:t>Name and Address of Purchaser</w:t>
      </w:r>
    </w:p>
    <w:p>
      <w:pPr>
        <w:spacing w:after="0" w:line="316" w:lineRule="exact"/>
        <w:rPr>
          <w:sz w:val="20"/>
          <w:szCs w:val="20"/>
          <w:color w:val="auto"/>
        </w:rPr>
      </w:pPr>
    </w:p>
    <w:p>
      <w:pPr>
        <w:ind w:left="32" w:right="2140"/>
        <w:spacing w:after="0" w:line="236" w:lineRule="auto"/>
        <w:rPr>
          <w:sz w:val="20"/>
          <w:szCs w:val="20"/>
          <w:color w:val="auto"/>
        </w:rPr>
      </w:pPr>
      <w:r>
        <w:rPr>
          <w:rFonts w:ascii="Arial" w:cs="Arial" w:eastAsia="Arial" w:hAnsi="Arial"/>
          <w:sz w:val="22"/>
          <w:szCs w:val="22"/>
          <w:b w:val="1"/>
          <w:bCs w:val="1"/>
          <w:color w:val="auto"/>
        </w:rPr>
        <w:t xml:space="preserve">STONEBRIDGE LIFE INSURANCE COMPANY </w:t>
      </w:r>
      <w:r>
        <w:rPr>
          <w:rFonts w:ascii="Arial" w:cs="Arial" w:eastAsia="Arial" w:hAnsi="Arial"/>
          <w:sz w:val="22"/>
          <w:szCs w:val="22"/>
          <w:color w:val="auto"/>
        </w:rPr>
        <w:t>c/o AEGON USA Investment Management, LLC Attn: Custody Operations-Privates MS 5335 4333 Edgewood Road NE</w:t>
      </w:r>
    </w:p>
    <w:p>
      <w:pPr>
        <w:spacing w:after="0" w:line="1" w:lineRule="exact"/>
        <w:rPr>
          <w:sz w:val="20"/>
          <w:szCs w:val="20"/>
          <w:color w:val="auto"/>
        </w:rPr>
      </w:pPr>
    </w:p>
    <w:p>
      <w:pPr>
        <w:ind w:left="32"/>
        <w:spacing w:after="0"/>
        <w:rPr>
          <w:sz w:val="20"/>
          <w:szCs w:val="20"/>
          <w:color w:val="auto"/>
        </w:rPr>
      </w:pPr>
      <w:r>
        <w:rPr>
          <w:rFonts w:ascii="Arial" w:cs="Arial" w:eastAsia="Arial" w:hAnsi="Arial"/>
          <w:sz w:val="22"/>
          <w:szCs w:val="22"/>
          <w:color w:val="auto"/>
        </w:rPr>
        <w:t>Cedar Rapids, IA 52499-5335</w:t>
      </w:r>
    </w:p>
    <w:p>
      <w:pPr>
        <w:spacing w:after="0" w:line="269" w:lineRule="exact"/>
        <w:rPr>
          <w:sz w:val="20"/>
          <w:szCs w:val="20"/>
          <w:color w:val="auto"/>
        </w:rPr>
      </w:pPr>
    </w:p>
    <w:p>
      <w:pPr>
        <w:ind w:left="452" w:hanging="452"/>
        <w:spacing w:after="0"/>
        <w:tabs>
          <w:tab w:leader="none" w:pos="452"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Wire of payment due</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22"/>
          <w:szCs w:val="22"/>
          <w:color w:val="auto"/>
        </w:rPr>
        <w:t>Principal Amount and Series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of Notes to Be Purchased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20" w:type="dxa"/>
            <w:vAlign w:val="bottom"/>
          </w:tcPr>
          <w:p>
            <w:pPr>
              <w:spacing w:after="0"/>
              <w:rPr>
                <w:sz w:val="20"/>
                <w:szCs w:val="20"/>
                <w:color w:val="auto"/>
              </w:rPr>
            </w:pPr>
            <w:r>
              <w:rPr>
                <w:rFonts w:ascii="Arial" w:cs="Arial" w:eastAsia="Arial" w:hAnsi="Arial"/>
                <w:sz w:val="22"/>
                <w:szCs w:val="22"/>
                <w:color w:val="auto"/>
              </w:rPr>
              <w:t>Series A</w:t>
            </w:r>
          </w:p>
        </w:tc>
        <w:tc>
          <w:tcPr>
            <w:tcW w:w="2020" w:type="dxa"/>
            <w:vAlign w:val="bottom"/>
          </w:tcPr>
          <w:p>
            <w:pPr>
              <w:ind w:left="600"/>
              <w:spacing w:after="0"/>
              <w:rPr>
                <w:sz w:val="20"/>
                <w:szCs w:val="20"/>
                <w:color w:val="auto"/>
              </w:rPr>
            </w:pPr>
            <w:r>
              <w:rPr>
                <w:rFonts w:ascii="Arial" w:cs="Arial" w:eastAsia="Arial" w:hAnsi="Arial"/>
                <w:sz w:val="22"/>
                <w:szCs w:val="22"/>
                <w:color w:val="auto"/>
                <w:w w:val="88"/>
              </w:rPr>
              <w:t>U.S. $6,000,000</w:t>
            </w:r>
          </w:p>
        </w:tc>
      </w:tr>
    </w:tbl>
    <w:p>
      <w:pPr>
        <w:spacing w:after="0" w:line="1718" w:lineRule="exact"/>
        <w:rPr>
          <w:sz w:val="20"/>
          <w:szCs w:val="20"/>
          <w:color w:val="auto"/>
        </w:rPr>
      </w:pPr>
    </w:p>
    <w:p>
      <w:pPr>
        <w:sectPr>
          <w:pgSz w:w="11900" w:h="16838" w:orient="portrait"/>
          <w:cols w:equalWidth="0" w:num="2">
            <w:col w:w="6812" w:space="720"/>
            <w:col w:w="3440"/>
          </w:cols>
          <w:pgMar w:left="248" w:top="1293" w:right="679" w:bottom="1440" w:gutter="0" w:footer="0" w:header="0"/>
        </w:sectPr>
      </w:pPr>
    </w:p>
    <w:p>
      <w:pPr>
        <w:spacing w:after="0" w:line="81" w:lineRule="exact"/>
        <w:rPr>
          <w:sz w:val="20"/>
          <w:szCs w:val="20"/>
          <w:color w:val="auto"/>
        </w:rPr>
      </w:pPr>
    </w:p>
    <w:p>
      <w:pPr>
        <w:ind w:left="652"/>
        <w:spacing w:after="0"/>
        <w:rPr>
          <w:sz w:val="20"/>
          <w:szCs w:val="20"/>
          <w:color w:val="auto"/>
        </w:rPr>
      </w:pPr>
      <w:r>
        <w:rPr>
          <w:rFonts w:ascii="Arial" w:cs="Arial" w:eastAsia="Arial" w:hAnsi="Arial"/>
          <w:sz w:val="19"/>
          <w:szCs w:val="19"/>
          <w:color w:val="auto"/>
        </w:rPr>
        <w:t xml:space="preserve">All payments on account of the STONEBRIDGE LIFE INSURANCE COMPANY </w:t>
      </w:r>
      <w:r>
        <w:rPr>
          <w:rFonts w:ascii="Arial" w:cs="Arial" w:eastAsia="Arial" w:hAnsi="Arial"/>
          <w:sz w:val="19"/>
          <w:szCs w:val="19"/>
          <w:b w:val="1"/>
          <w:bCs w:val="1"/>
          <w:u w:val="single" w:color="auto"/>
          <w:color w:val="auto"/>
        </w:rPr>
        <w:t>shall be made by wire transfer to</w:t>
      </w:r>
      <w:r>
        <w:rPr>
          <w:rFonts w:ascii="Arial" w:cs="Arial" w:eastAsia="Arial" w:hAnsi="Arial"/>
          <w:sz w:val="19"/>
          <w:szCs w:val="19"/>
          <w:b w:val="1"/>
          <w:bCs w:val="1"/>
          <w:color w:val="auto"/>
        </w:rPr>
        <w:t>:</w:t>
      </w:r>
    </w:p>
    <w:p>
      <w:pPr>
        <w:spacing w:after="0" w:line="328"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Citibank, N.A.</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111 Wall Street</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New York, NY 10043 USA</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ABA #021000089</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DDA #36218394</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Custody Account No. 216341</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FFC: SLIC LPGI 1J</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REFERENCE: CUSIP/PPN, PRINCIPAL &amp; INTEREST ALLOCATION</w:t>
      </w:r>
    </w:p>
    <w:p>
      <w:pPr>
        <w:spacing w:after="0" w:line="287" w:lineRule="exact"/>
        <w:rPr>
          <w:sz w:val="20"/>
          <w:szCs w:val="20"/>
          <w:color w:val="auto"/>
        </w:rPr>
      </w:pPr>
    </w:p>
    <w:p>
      <w:pPr>
        <w:ind w:left="432" w:hanging="432"/>
        <w:spacing w:after="0"/>
        <w:tabs>
          <w:tab w:leader="none" w:pos="432"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Payment notice</w:t>
      </w:r>
    </w:p>
    <w:p>
      <w:pPr>
        <w:spacing w:after="0" w:line="287" w:lineRule="exact"/>
        <w:rPr>
          <w:sz w:val="20"/>
          <w:szCs w:val="20"/>
          <w:color w:val="auto"/>
        </w:rPr>
      </w:pPr>
    </w:p>
    <w:p>
      <w:pPr>
        <w:ind w:left="652"/>
        <w:spacing w:after="0"/>
        <w:rPr>
          <w:sz w:val="20"/>
          <w:szCs w:val="20"/>
          <w:color w:val="auto"/>
        </w:rPr>
      </w:pPr>
      <w:r>
        <w:rPr>
          <w:rFonts w:ascii="Arial" w:cs="Arial" w:eastAsia="Arial" w:hAnsi="Arial"/>
          <w:sz w:val="19"/>
          <w:szCs w:val="19"/>
          <w:color w:val="auto"/>
        </w:rPr>
        <w:t xml:space="preserve">All notices/confirmation of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information should INCLUDE CUSIP/PPN in the Subject line and be sent to:</w:t>
      </w:r>
    </w:p>
    <w:p>
      <w:pPr>
        <w:spacing w:after="0" w:line="32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Email: paymentnotifications@aegonusa.com</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AEGON USA Investment Management, LLC</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Attn: Custody Operations-Privates MS 5335</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4333 Edgewood Road NE</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Cedar Rapids, IA 52499-5335</w:t>
      </w:r>
    </w:p>
    <w:p>
      <w:pPr>
        <w:sectPr>
          <w:pgSz w:w="11900" w:h="16838" w:orient="portrait"/>
          <w:cols w:equalWidth="0" w:num="1">
            <w:col w:w="10972"/>
          </w:cols>
          <w:pgMar w:left="248" w:top="1293" w:right="679" w:bottom="1440" w:gutter="0" w:footer="0" w:header="0"/>
          <w:type w:val="continuous"/>
        </w:sectPr>
      </w:pPr>
    </w:p>
    <w:bookmarkStart w:id="154" w:name="page155"/>
    <w:bookmarkEnd w:id="154"/>
    <w:p>
      <w:pPr>
        <w:ind w:left="2200"/>
        <w:spacing w:after="0"/>
        <w:rPr>
          <w:sz w:val="20"/>
          <w:szCs w:val="20"/>
          <w:color w:val="auto"/>
        </w:rPr>
      </w:pPr>
      <w:r>
        <w:rPr>
          <w:rFonts w:ascii="Arial" w:cs="Arial" w:eastAsia="Arial" w:hAnsi="Arial"/>
          <w:sz w:val="22"/>
          <w:szCs w:val="22"/>
          <w:b w:val="1"/>
          <w:bCs w:val="1"/>
          <w:color w:val="auto"/>
        </w:rPr>
        <w:t>FINANCIALS, LEGAL, PRE-PAYMENT AND OTHER NOTIFICATIONS</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 w:type="dxa"/>
            <w:vAlign w:val="bottom"/>
          </w:tcPr>
          <w:p>
            <w:pPr>
              <w:spacing w:after="0"/>
              <w:rPr>
                <w:sz w:val="21"/>
                <w:szCs w:val="21"/>
                <w:color w:val="auto"/>
              </w:rPr>
            </w:pPr>
          </w:p>
        </w:tc>
        <w:tc>
          <w:tcPr>
            <w:tcW w:w="5680" w:type="dxa"/>
            <w:vAlign w:val="bottom"/>
            <w:gridSpan w:val="4"/>
          </w:tcPr>
          <w:p>
            <w:pPr>
              <w:ind w:left="11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 Routine correspondence and reporting:</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spacing w:after="0"/>
              <w:rPr>
                <w:sz w:val="21"/>
                <w:szCs w:val="21"/>
                <w:color w:val="auto"/>
              </w:rPr>
            </w:pPr>
          </w:p>
        </w:tc>
      </w:tr>
      <w:tr>
        <w:trPr>
          <w:trHeight w:val="20"/>
        </w:trPr>
        <w:tc>
          <w:tcPr>
            <w:tcW w:w="180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6"/>
        </w:trPr>
        <w:tc>
          <w:tcPr>
            <w:tcW w:w="584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c>
          <w:tcPr>
            <w:tcW w:w="4920" w:type="dxa"/>
            <w:vAlign w:val="bottom"/>
            <w:gridSpan w:val="2"/>
          </w:tcPr>
          <w:p>
            <w:pPr>
              <w:ind w:left="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Attn: Director of Private Placements MS 5335</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Attn: Director of Private Placements, MS 3341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4333 Edgewood Road N.E.</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100 Light Street, B1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Cedar Rapids, IA 52499-5335</w:t>
            </w:r>
          </w:p>
        </w:tc>
        <w:tc>
          <w:tcPr>
            <w:tcW w:w="1100" w:type="dxa"/>
            <w:vAlign w:val="bottom"/>
          </w:tcPr>
          <w:p>
            <w:pPr>
              <w:ind w:left="940"/>
              <w:spacing w:after="0" w:line="243" w:lineRule="exact"/>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Baltimore, MD 21202-2559</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(319) 355-2432 | F (319) 355-2666</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(443) 475-3130 F (443) 475-3095</w:t>
            </w:r>
          </w:p>
        </w:tc>
      </w:tr>
      <w:tr>
        <w:trPr>
          <w:trHeight w:val="275"/>
        </w:trPr>
        <w:tc>
          <w:tcPr>
            <w:tcW w:w="160" w:type="dxa"/>
            <w:vAlign w:val="bottom"/>
          </w:tcPr>
          <w:p>
            <w:pPr>
              <w:spacing w:after="0"/>
              <w:rPr>
                <w:sz w:val="20"/>
                <w:szCs w:val="20"/>
                <w:color w:val="auto"/>
              </w:rPr>
            </w:pPr>
            <w:r>
              <w:rPr>
                <w:rFonts w:ascii="Arial" w:cs="Arial" w:eastAsia="Arial" w:hAnsi="Arial"/>
                <w:sz w:val="22"/>
                <w:szCs w:val="22"/>
                <w:color w:val="auto"/>
              </w:rPr>
              <w:t>•</w:t>
            </w:r>
          </w:p>
        </w:tc>
        <w:tc>
          <w:tcPr>
            <w:tcW w:w="5680" w:type="dxa"/>
            <w:vAlign w:val="bottom"/>
            <w:gridSpan w:val="4"/>
          </w:tcPr>
          <w:p>
            <w:pPr>
              <w:ind w:left="100"/>
              <w:spacing w:after="0"/>
              <w:rPr>
                <w:sz w:val="20"/>
                <w:szCs w:val="20"/>
                <w:color w:val="auto"/>
              </w:rPr>
            </w:pPr>
            <w:r>
              <w:rPr>
                <w:rFonts w:ascii="Arial" w:cs="Arial" w:eastAsia="Arial" w:hAnsi="Arial"/>
                <w:sz w:val="20"/>
                <w:szCs w:val="20"/>
                <w:color w:val="auto"/>
              </w:rPr>
              <w:t>privateplacements@aegonusa.com</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privateplacements@aegonusa.com</w:t>
            </w:r>
          </w:p>
        </w:tc>
      </w:tr>
      <w:tr>
        <w:trPr>
          <w:trHeight w:val="247"/>
        </w:trPr>
        <w:tc>
          <w:tcPr>
            <w:tcW w:w="160" w:type="dxa"/>
            <w:vAlign w:val="bottom"/>
          </w:tcPr>
          <w:p>
            <w:pPr>
              <w:spacing w:after="0"/>
              <w:rPr>
                <w:sz w:val="21"/>
                <w:szCs w:val="21"/>
                <w:color w:val="auto"/>
              </w:rPr>
            </w:pPr>
          </w:p>
        </w:tc>
        <w:tc>
          <w:tcPr>
            <w:tcW w:w="5680" w:type="dxa"/>
            <w:vAlign w:val="bottom"/>
            <w:gridSpan w:val="4"/>
          </w:tcPr>
          <w:p>
            <w:pPr>
              <w:ind w:left="1140"/>
              <w:spacing w:after="0" w:line="246"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B) Legal/Closing Documents:</w:t>
            </w:r>
          </w:p>
        </w:tc>
        <w:tc>
          <w:tcPr>
            <w:tcW w:w="1100" w:type="dxa"/>
            <w:vAlign w:val="bottom"/>
          </w:tcPr>
          <w:p>
            <w:pPr>
              <w:ind w:left="940"/>
              <w:spacing w:after="0" w:line="246" w:lineRule="exact"/>
              <w:rPr>
                <w:sz w:val="20"/>
                <w:szCs w:val="20"/>
                <w:color w:val="auto"/>
              </w:rPr>
            </w:pPr>
            <w:r>
              <w:rPr>
                <w:rFonts w:ascii="Arial" w:cs="Arial" w:eastAsia="Arial" w:hAnsi="Arial"/>
                <w:sz w:val="22"/>
                <w:szCs w:val="22"/>
                <w:color w:val="auto"/>
              </w:rPr>
              <w:t>•</w:t>
            </w:r>
          </w:p>
        </w:tc>
        <w:tc>
          <w:tcPr>
            <w:tcW w:w="3820" w:type="dxa"/>
            <w:vAlign w:val="bottom"/>
          </w:tcPr>
          <w:p>
            <w:pPr>
              <w:spacing w:after="0"/>
              <w:rPr>
                <w:sz w:val="21"/>
                <w:szCs w:val="21"/>
                <w:color w:val="auto"/>
              </w:rPr>
            </w:pPr>
          </w:p>
        </w:tc>
      </w:tr>
      <w:tr>
        <w:trPr>
          <w:trHeight w:val="20"/>
        </w:trPr>
        <w:tc>
          <w:tcPr>
            <w:tcW w:w="180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6"/>
        </w:trPr>
        <w:tc>
          <w:tcPr>
            <w:tcW w:w="584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c>
          <w:tcPr>
            <w:tcW w:w="4920" w:type="dxa"/>
            <w:vAlign w:val="bottom"/>
            <w:gridSpan w:val="2"/>
          </w:tcPr>
          <w:p>
            <w:pPr>
              <w:ind w:left="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Attn: Director of Private Placements MS 5335</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Attn: Director of Private Placements, MS 3341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4333 Edgewood Road N.E.</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100 Light Street, B1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Cedar Rapids, IA 52499-5335</w:t>
            </w:r>
          </w:p>
        </w:tc>
        <w:tc>
          <w:tcPr>
            <w:tcW w:w="1100" w:type="dxa"/>
            <w:vAlign w:val="bottom"/>
          </w:tcPr>
          <w:p>
            <w:pPr>
              <w:ind w:left="940"/>
              <w:spacing w:after="0" w:line="243" w:lineRule="exact"/>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Baltimore, MD 21202-2559</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(319) 355-2432 | F (319) 355-2666</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(443) 475-3130 F (443) 475-3095</w:t>
            </w:r>
          </w:p>
        </w:tc>
      </w:tr>
      <w:tr>
        <w:trPr>
          <w:trHeight w:val="275"/>
        </w:trPr>
        <w:tc>
          <w:tcPr>
            <w:tcW w:w="160" w:type="dxa"/>
            <w:vAlign w:val="bottom"/>
          </w:tcPr>
          <w:p>
            <w:pPr>
              <w:spacing w:after="0"/>
              <w:rPr>
                <w:sz w:val="20"/>
                <w:szCs w:val="20"/>
                <w:color w:val="auto"/>
              </w:rPr>
            </w:pPr>
            <w:r>
              <w:rPr>
                <w:rFonts w:ascii="Arial" w:cs="Arial" w:eastAsia="Arial" w:hAnsi="Arial"/>
                <w:sz w:val="22"/>
                <w:szCs w:val="22"/>
                <w:color w:val="auto"/>
              </w:rPr>
              <w:t>•</w:t>
            </w:r>
          </w:p>
        </w:tc>
        <w:tc>
          <w:tcPr>
            <w:tcW w:w="5680" w:type="dxa"/>
            <w:vAlign w:val="bottom"/>
            <w:gridSpan w:val="4"/>
          </w:tcPr>
          <w:p>
            <w:pPr>
              <w:ind w:left="100"/>
              <w:spacing w:after="0"/>
              <w:rPr>
                <w:sz w:val="20"/>
                <w:szCs w:val="20"/>
                <w:color w:val="auto"/>
              </w:rPr>
            </w:pPr>
            <w:r>
              <w:rPr>
                <w:rFonts w:ascii="Arial" w:cs="Arial" w:eastAsia="Arial" w:hAnsi="Arial"/>
                <w:sz w:val="20"/>
                <w:szCs w:val="20"/>
                <w:color w:val="auto"/>
              </w:rPr>
              <w:t>privateplacements@aegonusa.com</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privateplacements@aegonusa.com</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TAX ID #39-0164230</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i w:val="1"/>
          <w:iCs w:val="1"/>
          <w:color w:val="auto"/>
        </w:rPr>
        <w:t>ORIGINAL NOTE</w:t>
      </w:r>
    </w:p>
    <w:p>
      <w:pPr>
        <w:spacing w:after="0" w:line="242"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 signed copy of the Note </w:t>
      </w:r>
      <w:r>
        <w:rPr>
          <w:rFonts w:ascii="Arial" w:cs="Arial" w:eastAsia="Arial" w:hAnsi="Arial"/>
          <w:sz w:val="19"/>
          <w:szCs w:val="19"/>
          <w:b w:val="1"/>
          <w:bCs w:val="1"/>
          <w:i w:val="1"/>
          <w:iCs w:val="1"/>
          <w:u w:val="single" w:color="auto"/>
          <w:color w:val="auto"/>
        </w:rPr>
        <w:t>MUST</w:t>
      </w:r>
      <w:r>
        <w:rPr>
          <w:rFonts w:ascii="Arial" w:cs="Arial" w:eastAsia="Arial" w:hAnsi="Arial"/>
          <w:sz w:val="19"/>
          <w:szCs w:val="19"/>
          <w:i w:val="1"/>
          <w:iCs w:val="1"/>
          <w:color w:val="auto"/>
        </w:rPr>
        <w:t xml:space="preserve"> be sent to Custody Operations-Privates for verification via fax 888-652-8024 or email</w:t>
      </w:r>
    </w:p>
    <w:p>
      <w:pPr>
        <w:spacing w:after="0" w:line="78" w:lineRule="exact"/>
        <w:rPr>
          <w:rFonts w:ascii="Arial" w:cs="Arial" w:eastAsia="Arial" w:hAnsi="Arial"/>
          <w:sz w:val="19"/>
          <w:szCs w:val="19"/>
          <w:i w:val="1"/>
          <w:iCs w:val="1"/>
          <w:color w:val="auto"/>
        </w:rPr>
      </w:pPr>
    </w:p>
    <w:p>
      <w:pPr>
        <w:ind w:left="660"/>
        <w:spacing w:after="0"/>
        <w:rPr>
          <w:rFonts w:ascii="Arial" w:cs="Arial" w:eastAsia="Arial" w:hAnsi="Arial"/>
          <w:sz w:val="19"/>
          <w:szCs w:val="19"/>
          <w:i w:val="1"/>
          <w:iCs w:val="1"/>
          <w:color w:val="auto"/>
        </w:rPr>
      </w:pPr>
      <w:r>
        <w:rPr>
          <w:rFonts w:ascii="Arial" w:cs="Arial" w:eastAsia="Arial" w:hAnsi="Arial"/>
          <w:sz w:val="22"/>
          <w:szCs w:val="22"/>
          <w:b w:val="1"/>
          <w:bCs w:val="1"/>
          <w:i w:val="1"/>
          <w:iCs w:val="1"/>
          <w:u w:val="single" w:color="auto"/>
          <w:color w:val="auto"/>
        </w:rPr>
        <w:t>INVCustodyTeam@AEGONUSA.com</w:t>
      </w:r>
    </w:p>
    <w:p>
      <w:pPr>
        <w:spacing w:after="0" w:line="287" w:lineRule="exact"/>
        <w:rPr>
          <w:rFonts w:ascii="Arial" w:cs="Arial" w:eastAsia="Arial" w:hAnsi="Arial"/>
          <w:sz w:val="19"/>
          <w:szCs w:val="19"/>
          <w:i w:val="1"/>
          <w:iCs w:val="1"/>
          <w:color w:val="auto"/>
        </w:rPr>
      </w:pPr>
    </w:p>
    <w:p>
      <w:pPr>
        <w:ind w:left="660" w:right="180" w:hanging="652"/>
        <w:spacing w:after="0" w:line="302" w:lineRule="auto"/>
        <w:tabs>
          <w:tab w:leader="none" w:pos="660" w:val="left"/>
        </w:tabs>
        <w:numPr>
          <w:ilvl w:val="0"/>
          <w:numId w:val="115"/>
        </w:numPr>
        <w:rPr>
          <w:rFonts w:ascii="Arial" w:cs="Arial" w:eastAsia="Arial" w:hAnsi="Arial"/>
          <w:sz w:val="22"/>
          <w:szCs w:val="22"/>
          <w:i w:val="1"/>
          <w:iCs w:val="1"/>
          <w:color w:val="auto"/>
        </w:rPr>
      </w:pPr>
      <w:r>
        <w:rPr>
          <w:rFonts w:ascii="Arial" w:cs="Arial" w:eastAsia="Arial" w:hAnsi="Arial"/>
          <w:sz w:val="22"/>
          <w:szCs w:val="22"/>
          <w:i w:val="1"/>
          <w:iCs w:val="1"/>
          <w:color w:val="auto"/>
        </w:rPr>
        <w:t>Once the note has been verified, the Custody Bank Instructions will then be relayed to you via fax or email, which will contain the Custody Vault address where the original certificate needs to be sent.</w:t>
      </w:r>
    </w:p>
    <w:p>
      <w:pPr>
        <w:sectPr>
          <w:pgSz w:w="11900" w:h="16838" w:orient="portrait"/>
          <w:cols w:equalWidth="0" w:num="1">
            <w:col w:w="11040"/>
          </w:cols>
          <w:pgMar w:left="240" w:top="1179" w:right="619" w:bottom="1440" w:gutter="0" w:footer="0" w:header="0"/>
        </w:sectPr>
      </w:pPr>
    </w:p>
    <w:bookmarkStart w:id="155" w:name="page156"/>
    <w:bookmarkEnd w:id="155"/>
    <w:p>
      <w:pPr>
        <w:spacing w:after="0" w:line="243" w:lineRule="exact"/>
        <w:rPr>
          <w:sz w:val="20"/>
          <w:szCs w:val="20"/>
          <w:color w:val="auto"/>
        </w:rPr>
      </w:pPr>
    </w:p>
    <w:p>
      <w:pPr>
        <w:ind w:left="2032"/>
        <w:spacing w:after="0"/>
        <w:rPr>
          <w:sz w:val="20"/>
          <w:szCs w:val="20"/>
          <w:color w:val="auto"/>
        </w:rPr>
      </w:pPr>
      <w:r>
        <w:rPr>
          <w:rFonts w:ascii="Arial" w:cs="Arial" w:eastAsia="Arial" w:hAnsi="Arial"/>
          <w:sz w:val="19"/>
          <w:szCs w:val="19"/>
          <w:color w:val="auto"/>
        </w:rPr>
        <w:t>Name and Address of Purchaser</w:t>
      </w:r>
    </w:p>
    <w:p>
      <w:pPr>
        <w:spacing w:after="0" w:line="316" w:lineRule="exact"/>
        <w:rPr>
          <w:sz w:val="20"/>
          <w:szCs w:val="20"/>
          <w:color w:val="auto"/>
        </w:rPr>
      </w:pPr>
    </w:p>
    <w:p>
      <w:pPr>
        <w:ind w:left="32" w:right="2520"/>
        <w:spacing w:after="0" w:line="237" w:lineRule="auto"/>
        <w:rPr>
          <w:sz w:val="20"/>
          <w:szCs w:val="20"/>
          <w:color w:val="auto"/>
        </w:rPr>
      </w:pPr>
      <w:r>
        <w:rPr>
          <w:rFonts w:ascii="Arial" w:cs="Arial" w:eastAsia="Arial" w:hAnsi="Arial"/>
          <w:sz w:val="22"/>
          <w:szCs w:val="22"/>
          <w:b w:val="1"/>
          <w:bCs w:val="1"/>
          <w:color w:val="auto"/>
        </w:rPr>
        <w:t xml:space="preserve">TRANSAMERICA LIFE (BERMUDA) LTD </w:t>
      </w:r>
      <w:r>
        <w:rPr>
          <w:rFonts w:ascii="Arial" w:cs="Arial" w:eastAsia="Arial" w:hAnsi="Arial"/>
          <w:sz w:val="22"/>
          <w:szCs w:val="22"/>
          <w:color w:val="auto"/>
        </w:rPr>
        <w:t>c/o AEGON USA Investment Management, LLC Attn: Custody Operations-Privates MS 5335 4333 Edgewood Road NE Cedar Rapids, IA 52499-5335</w:t>
      </w:r>
    </w:p>
    <w:p>
      <w:pPr>
        <w:spacing w:after="0" w:line="270" w:lineRule="exact"/>
        <w:rPr>
          <w:sz w:val="20"/>
          <w:szCs w:val="20"/>
          <w:color w:val="auto"/>
        </w:rPr>
      </w:pPr>
    </w:p>
    <w:p>
      <w:pPr>
        <w:ind w:left="452" w:hanging="452"/>
        <w:spacing w:after="0"/>
        <w:tabs>
          <w:tab w:leader="none" w:pos="452"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Wire of payment due</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22"/>
          <w:szCs w:val="22"/>
          <w:color w:val="auto"/>
        </w:rPr>
        <w:t>Principal Amount and Series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of Notes to Be Purchased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20" w:type="dxa"/>
            <w:vAlign w:val="bottom"/>
          </w:tcPr>
          <w:p>
            <w:pPr>
              <w:spacing w:after="0"/>
              <w:rPr>
                <w:sz w:val="20"/>
                <w:szCs w:val="20"/>
                <w:color w:val="auto"/>
              </w:rPr>
            </w:pPr>
            <w:r>
              <w:rPr>
                <w:rFonts w:ascii="Arial" w:cs="Arial" w:eastAsia="Arial" w:hAnsi="Arial"/>
                <w:sz w:val="22"/>
                <w:szCs w:val="22"/>
                <w:color w:val="auto"/>
              </w:rPr>
              <w:t>Series A</w:t>
            </w:r>
          </w:p>
        </w:tc>
        <w:tc>
          <w:tcPr>
            <w:tcW w:w="2020" w:type="dxa"/>
            <w:vAlign w:val="bottom"/>
          </w:tcPr>
          <w:p>
            <w:pPr>
              <w:ind w:left="600"/>
              <w:spacing w:after="0"/>
              <w:rPr>
                <w:sz w:val="20"/>
                <w:szCs w:val="20"/>
                <w:color w:val="auto"/>
              </w:rPr>
            </w:pPr>
            <w:r>
              <w:rPr>
                <w:rFonts w:ascii="Arial" w:cs="Arial" w:eastAsia="Arial" w:hAnsi="Arial"/>
                <w:sz w:val="22"/>
                <w:szCs w:val="22"/>
                <w:color w:val="auto"/>
                <w:w w:val="88"/>
              </w:rPr>
              <w:t>U.S. $6,000,000</w:t>
            </w:r>
          </w:p>
        </w:tc>
      </w:tr>
    </w:tbl>
    <w:p>
      <w:pPr>
        <w:spacing w:after="0" w:line="1718" w:lineRule="exact"/>
        <w:rPr>
          <w:sz w:val="20"/>
          <w:szCs w:val="20"/>
          <w:color w:val="auto"/>
        </w:rPr>
      </w:pPr>
    </w:p>
    <w:p>
      <w:pPr>
        <w:sectPr>
          <w:pgSz w:w="11900" w:h="16838" w:orient="portrait"/>
          <w:cols w:equalWidth="0" w:num="2">
            <w:col w:w="6812" w:space="720"/>
            <w:col w:w="3340"/>
          </w:cols>
          <w:pgMar w:left="248" w:top="1293" w:right="779" w:bottom="1440" w:gutter="0" w:footer="0" w:header="0"/>
        </w:sectPr>
      </w:pPr>
    </w:p>
    <w:p>
      <w:pPr>
        <w:spacing w:after="0" w:line="81" w:lineRule="exact"/>
        <w:rPr>
          <w:sz w:val="20"/>
          <w:szCs w:val="20"/>
          <w:color w:val="auto"/>
        </w:rPr>
      </w:pPr>
    </w:p>
    <w:p>
      <w:pPr>
        <w:ind w:left="652"/>
        <w:spacing w:after="0"/>
        <w:rPr>
          <w:sz w:val="20"/>
          <w:szCs w:val="20"/>
          <w:color w:val="auto"/>
        </w:rPr>
      </w:pPr>
      <w:r>
        <w:rPr>
          <w:rFonts w:ascii="Arial" w:cs="Arial" w:eastAsia="Arial" w:hAnsi="Arial"/>
          <w:sz w:val="19"/>
          <w:szCs w:val="19"/>
          <w:color w:val="auto"/>
        </w:rPr>
        <w:t xml:space="preserve">All payments on account of the TRANSAMERICA LIFE (BERMUDA) LTD </w:t>
      </w:r>
      <w:r>
        <w:rPr>
          <w:rFonts w:ascii="Arial" w:cs="Arial" w:eastAsia="Arial" w:hAnsi="Arial"/>
          <w:sz w:val="19"/>
          <w:szCs w:val="19"/>
          <w:b w:val="1"/>
          <w:bCs w:val="1"/>
          <w:u w:val="single" w:color="auto"/>
          <w:color w:val="auto"/>
        </w:rPr>
        <w:t>shall be made by wire transfer to</w:t>
      </w:r>
      <w:r>
        <w:rPr>
          <w:rFonts w:ascii="Arial" w:cs="Arial" w:eastAsia="Arial" w:hAnsi="Arial"/>
          <w:sz w:val="19"/>
          <w:szCs w:val="19"/>
          <w:b w:val="1"/>
          <w:bCs w:val="1"/>
          <w:color w:val="auto"/>
        </w:rPr>
        <w:t>:</w:t>
      </w:r>
    </w:p>
    <w:p>
      <w:pPr>
        <w:spacing w:after="0" w:line="328"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Citibank, N.A.</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111 Wall Street</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New York, NY 10043 USA</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ABA #021000089</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DDA #36218394</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Account Number: 201692 - 11415034</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Account Name: TRANSAMERICA LIFE BERMUDA LTD LP - LPGS 1B</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REFERENCE: CUSIP/PPN, PRINCIPAL &amp; INTEREST ALLOCATION</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Swift Bic: CITIUS33</w:t>
      </w:r>
    </w:p>
    <w:p>
      <w:pPr>
        <w:spacing w:after="0" w:line="287" w:lineRule="exact"/>
        <w:rPr>
          <w:sz w:val="20"/>
          <w:szCs w:val="20"/>
          <w:color w:val="auto"/>
        </w:rPr>
      </w:pPr>
    </w:p>
    <w:p>
      <w:pPr>
        <w:ind w:left="432" w:hanging="432"/>
        <w:spacing w:after="0"/>
        <w:tabs>
          <w:tab w:leader="none" w:pos="432"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Payment notice</w:t>
      </w:r>
    </w:p>
    <w:p>
      <w:pPr>
        <w:spacing w:after="0" w:line="287" w:lineRule="exact"/>
        <w:rPr>
          <w:sz w:val="20"/>
          <w:szCs w:val="20"/>
          <w:color w:val="auto"/>
        </w:rPr>
      </w:pPr>
    </w:p>
    <w:p>
      <w:pPr>
        <w:ind w:left="652"/>
        <w:spacing w:after="0"/>
        <w:rPr>
          <w:sz w:val="20"/>
          <w:szCs w:val="20"/>
          <w:color w:val="auto"/>
        </w:rPr>
      </w:pPr>
      <w:r>
        <w:rPr>
          <w:rFonts w:ascii="Arial" w:cs="Arial" w:eastAsia="Arial" w:hAnsi="Arial"/>
          <w:sz w:val="19"/>
          <w:szCs w:val="19"/>
          <w:color w:val="auto"/>
        </w:rPr>
        <w:t xml:space="preserve">All notices/confirmation of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information should INCLUDE CUSIP/PPN in the Subject line and be sent to:</w:t>
      </w:r>
    </w:p>
    <w:p>
      <w:pPr>
        <w:spacing w:after="0" w:line="32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Email: paymentnotifications@aegonusa.com</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AEGON USA Investment Management, LLC</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Attn: Custody Operations-Privates MS 5335</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4333 Edgewood Road NE</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Cedar Rapids, IA 52499-5335</w:t>
      </w:r>
    </w:p>
    <w:p>
      <w:pPr>
        <w:sectPr>
          <w:pgSz w:w="11900" w:h="16838" w:orient="portrait"/>
          <w:cols w:equalWidth="0" w:num="1">
            <w:col w:w="10872"/>
          </w:cols>
          <w:pgMar w:left="248" w:top="1293" w:right="779" w:bottom="1440" w:gutter="0" w:footer="0" w:header="0"/>
          <w:type w:val="continuous"/>
        </w:sectPr>
      </w:pPr>
    </w:p>
    <w:bookmarkStart w:id="156" w:name="page157"/>
    <w:bookmarkEnd w:id="156"/>
    <w:p>
      <w:pPr>
        <w:ind w:left="2200"/>
        <w:spacing w:after="0"/>
        <w:rPr>
          <w:sz w:val="20"/>
          <w:szCs w:val="20"/>
          <w:color w:val="auto"/>
        </w:rPr>
      </w:pPr>
      <w:r>
        <w:rPr>
          <w:rFonts w:ascii="Arial" w:cs="Arial" w:eastAsia="Arial" w:hAnsi="Arial"/>
          <w:sz w:val="22"/>
          <w:szCs w:val="22"/>
          <w:b w:val="1"/>
          <w:bCs w:val="1"/>
          <w:color w:val="auto"/>
        </w:rPr>
        <w:t>FINANCIALS, LEGAL, PRE-PAYMENT AND OTHER NOTIFICATIONS</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 w:type="dxa"/>
            <w:vAlign w:val="bottom"/>
          </w:tcPr>
          <w:p>
            <w:pPr>
              <w:spacing w:after="0"/>
              <w:rPr>
                <w:sz w:val="21"/>
                <w:szCs w:val="21"/>
                <w:color w:val="auto"/>
              </w:rPr>
            </w:pPr>
          </w:p>
        </w:tc>
        <w:tc>
          <w:tcPr>
            <w:tcW w:w="5680" w:type="dxa"/>
            <w:vAlign w:val="bottom"/>
            <w:gridSpan w:val="4"/>
          </w:tcPr>
          <w:p>
            <w:pPr>
              <w:ind w:left="11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 Routine correspondence and reporting:</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spacing w:after="0"/>
              <w:rPr>
                <w:sz w:val="21"/>
                <w:szCs w:val="21"/>
                <w:color w:val="auto"/>
              </w:rPr>
            </w:pPr>
          </w:p>
        </w:tc>
      </w:tr>
      <w:tr>
        <w:trPr>
          <w:trHeight w:val="20"/>
        </w:trPr>
        <w:tc>
          <w:tcPr>
            <w:tcW w:w="180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6"/>
        </w:trPr>
        <w:tc>
          <w:tcPr>
            <w:tcW w:w="584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c>
          <w:tcPr>
            <w:tcW w:w="4920" w:type="dxa"/>
            <w:vAlign w:val="bottom"/>
            <w:gridSpan w:val="2"/>
          </w:tcPr>
          <w:p>
            <w:pPr>
              <w:ind w:left="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Attn: Director of Private Placements MS 5335</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Attn: Director of Private Placements, MS 3341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4333 Edgewood Road N.E.</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100 Light Street, B1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Cedar Rapids, IA 52499-5335</w:t>
            </w:r>
          </w:p>
        </w:tc>
        <w:tc>
          <w:tcPr>
            <w:tcW w:w="1100" w:type="dxa"/>
            <w:vAlign w:val="bottom"/>
          </w:tcPr>
          <w:p>
            <w:pPr>
              <w:ind w:left="940"/>
              <w:spacing w:after="0" w:line="243" w:lineRule="exact"/>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Baltimore, MD 21202-2559</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(319) 355-2432 | F (319) 355-2666</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(443) 475-3130 F (443) 475-3095</w:t>
            </w:r>
          </w:p>
        </w:tc>
      </w:tr>
      <w:tr>
        <w:trPr>
          <w:trHeight w:val="275"/>
        </w:trPr>
        <w:tc>
          <w:tcPr>
            <w:tcW w:w="160" w:type="dxa"/>
            <w:vAlign w:val="bottom"/>
          </w:tcPr>
          <w:p>
            <w:pPr>
              <w:spacing w:after="0"/>
              <w:rPr>
                <w:sz w:val="20"/>
                <w:szCs w:val="20"/>
                <w:color w:val="auto"/>
              </w:rPr>
            </w:pPr>
            <w:r>
              <w:rPr>
                <w:rFonts w:ascii="Arial" w:cs="Arial" w:eastAsia="Arial" w:hAnsi="Arial"/>
                <w:sz w:val="22"/>
                <w:szCs w:val="22"/>
                <w:color w:val="auto"/>
              </w:rPr>
              <w:t>•</w:t>
            </w:r>
          </w:p>
        </w:tc>
        <w:tc>
          <w:tcPr>
            <w:tcW w:w="5680" w:type="dxa"/>
            <w:vAlign w:val="bottom"/>
            <w:gridSpan w:val="4"/>
          </w:tcPr>
          <w:p>
            <w:pPr>
              <w:ind w:left="100"/>
              <w:spacing w:after="0"/>
              <w:rPr>
                <w:sz w:val="20"/>
                <w:szCs w:val="20"/>
                <w:color w:val="auto"/>
              </w:rPr>
            </w:pPr>
            <w:r>
              <w:rPr>
                <w:rFonts w:ascii="Arial" w:cs="Arial" w:eastAsia="Arial" w:hAnsi="Arial"/>
                <w:sz w:val="20"/>
                <w:szCs w:val="20"/>
                <w:color w:val="auto"/>
              </w:rPr>
              <w:t>privateplacements@aegonusa.com</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privateplacements@aegonusa.com</w:t>
            </w:r>
          </w:p>
        </w:tc>
      </w:tr>
      <w:tr>
        <w:trPr>
          <w:trHeight w:val="247"/>
        </w:trPr>
        <w:tc>
          <w:tcPr>
            <w:tcW w:w="160" w:type="dxa"/>
            <w:vAlign w:val="bottom"/>
          </w:tcPr>
          <w:p>
            <w:pPr>
              <w:spacing w:after="0"/>
              <w:rPr>
                <w:sz w:val="21"/>
                <w:szCs w:val="21"/>
                <w:color w:val="auto"/>
              </w:rPr>
            </w:pPr>
          </w:p>
        </w:tc>
        <w:tc>
          <w:tcPr>
            <w:tcW w:w="5680" w:type="dxa"/>
            <w:vAlign w:val="bottom"/>
            <w:gridSpan w:val="4"/>
          </w:tcPr>
          <w:p>
            <w:pPr>
              <w:ind w:left="1140"/>
              <w:spacing w:after="0" w:line="246"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B) Legal/Closing Documents:</w:t>
            </w:r>
          </w:p>
        </w:tc>
        <w:tc>
          <w:tcPr>
            <w:tcW w:w="1100" w:type="dxa"/>
            <w:vAlign w:val="bottom"/>
          </w:tcPr>
          <w:p>
            <w:pPr>
              <w:ind w:left="940"/>
              <w:spacing w:after="0" w:line="246" w:lineRule="exact"/>
              <w:rPr>
                <w:sz w:val="20"/>
                <w:szCs w:val="20"/>
                <w:color w:val="auto"/>
              </w:rPr>
            </w:pPr>
            <w:r>
              <w:rPr>
                <w:rFonts w:ascii="Arial" w:cs="Arial" w:eastAsia="Arial" w:hAnsi="Arial"/>
                <w:sz w:val="22"/>
                <w:szCs w:val="22"/>
                <w:color w:val="auto"/>
              </w:rPr>
              <w:t>•</w:t>
            </w:r>
          </w:p>
        </w:tc>
        <w:tc>
          <w:tcPr>
            <w:tcW w:w="3820" w:type="dxa"/>
            <w:vAlign w:val="bottom"/>
          </w:tcPr>
          <w:p>
            <w:pPr>
              <w:spacing w:after="0"/>
              <w:rPr>
                <w:sz w:val="21"/>
                <w:szCs w:val="21"/>
                <w:color w:val="auto"/>
              </w:rPr>
            </w:pPr>
          </w:p>
        </w:tc>
      </w:tr>
      <w:tr>
        <w:trPr>
          <w:trHeight w:val="20"/>
        </w:trPr>
        <w:tc>
          <w:tcPr>
            <w:tcW w:w="180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6"/>
        </w:trPr>
        <w:tc>
          <w:tcPr>
            <w:tcW w:w="584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c>
          <w:tcPr>
            <w:tcW w:w="4920" w:type="dxa"/>
            <w:vAlign w:val="bottom"/>
            <w:gridSpan w:val="2"/>
          </w:tcPr>
          <w:p>
            <w:pPr>
              <w:ind w:left="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Attn: Director of Private Placements MS 5335</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Attn: Director of Private Placements, MS 3341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4333 Edgewood Road N.E.</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100 Light Street, B1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Cedar Rapids, IA 52499-5335</w:t>
            </w:r>
          </w:p>
        </w:tc>
        <w:tc>
          <w:tcPr>
            <w:tcW w:w="1100" w:type="dxa"/>
            <w:vAlign w:val="bottom"/>
          </w:tcPr>
          <w:p>
            <w:pPr>
              <w:ind w:left="940"/>
              <w:spacing w:after="0" w:line="243" w:lineRule="exact"/>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Baltimore, MD 21202-2559</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(319) 355-2432 | F (319) 355-2666</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(443) 475-3130 F (443) 475-3095</w:t>
            </w:r>
          </w:p>
        </w:tc>
      </w:tr>
      <w:tr>
        <w:trPr>
          <w:trHeight w:val="275"/>
        </w:trPr>
        <w:tc>
          <w:tcPr>
            <w:tcW w:w="160" w:type="dxa"/>
            <w:vAlign w:val="bottom"/>
          </w:tcPr>
          <w:p>
            <w:pPr>
              <w:spacing w:after="0"/>
              <w:rPr>
                <w:sz w:val="20"/>
                <w:szCs w:val="20"/>
                <w:color w:val="auto"/>
              </w:rPr>
            </w:pPr>
            <w:r>
              <w:rPr>
                <w:rFonts w:ascii="Arial" w:cs="Arial" w:eastAsia="Arial" w:hAnsi="Arial"/>
                <w:sz w:val="22"/>
                <w:szCs w:val="22"/>
                <w:color w:val="auto"/>
              </w:rPr>
              <w:t>•</w:t>
            </w:r>
          </w:p>
        </w:tc>
        <w:tc>
          <w:tcPr>
            <w:tcW w:w="5680" w:type="dxa"/>
            <w:vAlign w:val="bottom"/>
            <w:gridSpan w:val="4"/>
          </w:tcPr>
          <w:p>
            <w:pPr>
              <w:ind w:left="100"/>
              <w:spacing w:after="0"/>
              <w:rPr>
                <w:sz w:val="20"/>
                <w:szCs w:val="20"/>
                <w:color w:val="auto"/>
              </w:rPr>
            </w:pPr>
            <w:r>
              <w:rPr>
                <w:rFonts w:ascii="Arial" w:cs="Arial" w:eastAsia="Arial" w:hAnsi="Arial"/>
                <w:sz w:val="20"/>
                <w:szCs w:val="20"/>
                <w:color w:val="auto"/>
              </w:rPr>
              <w:t>privateplacements@aegonusa.com</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privateplacements@aegonusa.com</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TAX ID #98-0481010</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i w:val="1"/>
          <w:iCs w:val="1"/>
          <w:color w:val="auto"/>
        </w:rPr>
        <w:t>ORIGINAL NOTE</w:t>
      </w:r>
    </w:p>
    <w:p>
      <w:pPr>
        <w:spacing w:after="0" w:line="242"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 signed copy of the Note </w:t>
      </w:r>
      <w:r>
        <w:rPr>
          <w:rFonts w:ascii="Arial" w:cs="Arial" w:eastAsia="Arial" w:hAnsi="Arial"/>
          <w:sz w:val="19"/>
          <w:szCs w:val="19"/>
          <w:b w:val="1"/>
          <w:bCs w:val="1"/>
          <w:i w:val="1"/>
          <w:iCs w:val="1"/>
          <w:u w:val="single" w:color="auto"/>
          <w:color w:val="auto"/>
        </w:rPr>
        <w:t>MUST</w:t>
      </w:r>
      <w:r>
        <w:rPr>
          <w:rFonts w:ascii="Arial" w:cs="Arial" w:eastAsia="Arial" w:hAnsi="Arial"/>
          <w:sz w:val="19"/>
          <w:szCs w:val="19"/>
          <w:i w:val="1"/>
          <w:iCs w:val="1"/>
          <w:color w:val="auto"/>
        </w:rPr>
        <w:t xml:space="preserve"> be sent to Custody Operations-Privates for verification via fax 888-652-8024 or email</w:t>
      </w:r>
    </w:p>
    <w:p>
      <w:pPr>
        <w:spacing w:after="0" w:line="78" w:lineRule="exact"/>
        <w:rPr>
          <w:rFonts w:ascii="Arial" w:cs="Arial" w:eastAsia="Arial" w:hAnsi="Arial"/>
          <w:sz w:val="19"/>
          <w:szCs w:val="19"/>
          <w:i w:val="1"/>
          <w:iCs w:val="1"/>
          <w:color w:val="auto"/>
        </w:rPr>
      </w:pPr>
    </w:p>
    <w:p>
      <w:pPr>
        <w:ind w:left="660"/>
        <w:spacing w:after="0"/>
        <w:rPr>
          <w:rFonts w:ascii="Arial" w:cs="Arial" w:eastAsia="Arial" w:hAnsi="Arial"/>
          <w:sz w:val="19"/>
          <w:szCs w:val="19"/>
          <w:i w:val="1"/>
          <w:iCs w:val="1"/>
          <w:color w:val="auto"/>
        </w:rPr>
      </w:pPr>
      <w:r>
        <w:rPr>
          <w:rFonts w:ascii="Arial" w:cs="Arial" w:eastAsia="Arial" w:hAnsi="Arial"/>
          <w:sz w:val="22"/>
          <w:szCs w:val="22"/>
          <w:b w:val="1"/>
          <w:bCs w:val="1"/>
          <w:i w:val="1"/>
          <w:iCs w:val="1"/>
          <w:color w:val="auto"/>
        </w:rPr>
        <w:t>INVCustodyTeam@AEGONUSA.com</w:t>
      </w:r>
    </w:p>
    <w:p>
      <w:pPr>
        <w:spacing w:after="0" w:line="287" w:lineRule="exact"/>
        <w:rPr>
          <w:rFonts w:ascii="Arial" w:cs="Arial" w:eastAsia="Arial" w:hAnsi="Arial"/>
          <w:sz w:val="19"/>
          <w:szCs w:val="19"/>
          <w:i w:val="1"/>
          <w:iCs w:val="1"/>
          <w:color w:val="auto"/>
        </w:rPr>
      </w:pPr>
    </w:p>
    <w:p>
      <w:pPr>
        <w:ind w:left="660" w:right="180" w:hanging="652"/>
        <w:spacing w:after="0" w:line="302" w:lineRule="auto"/>
        <w:tabs>
          <w:tab w:leader="none" w:pos="660" w:val="left"/>
        </w:tabs>
        <w:numPr>
          <w:ilvl w:val="0"/>
          <w:numId w:val="118"/>
        </w:numPr>
        <w:rPr>
          <w:rFonts w:ascii="Arial" w:cs="Arial" w:eastAsia="Arial" w:hAnsi="Arial"/>
          <w:sz w:val="22"/>
          <w:szCs w:val="22"/>
          <w:i w:val="1"/>
          <w:iCs w:val="1"/>
          <w:color w:val="auto"/>
        </w:rPr>
      </w:pPr>
      <w:r>
        <w:rPr>
          <w:rFonts w:ascii="Arial" w:cs="Arial" w:eastAsia="Arial" w:hAnsi="Arial"/>
          <w:sz w:val="22"/>
          <w:szCs w:val="22"/>
          <w:i w:val="1"/>
          <w:iCs w:val="1"/>
          <w:color w:val="auto"/>
        </w:rPr>
        <w:t>Once the note has been verified, the Custody Bank Instructions will then be relayed to you via fax or email, which will contain the Custody Vault address where the original certificate needs to be sent.</w:t>
      </w:r>
    </w:p>
    <w:p>
      <w:pPr>
        <w:sectPr>
          <w:pgSz w:w="11900" w:h="16838" w:orient="portrait"/>
          <w:cols w:equalWidth="0" w:num="1">
            <w:col w:w="11040"/>
          </w:cols>
          <w:pgMar w:left="240" w:top="1179" w:right="619" w:bottom="1440" w:gutter="0" w:footer="0" w:header="0"/>
        </w:sectPr>
      </w:pPr>
    </w:p>
    <w:bookmarkStart w:id="157" w:name="page158"/>
    <w:bookmarkEnd w:id="157"/>
    <w:p>
      <w:pPr>
        <w:spacing w:after="0" w:line="24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Name and Address of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Principal Amount and Series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of Notes to Be Purchased</w:t>
      </w:r>
    </w:p>
    <w:p>
      <w:pPr>
        <w:spacing w:after="0" w:line="200" w:lineRule="exact"/>
        <w:rPr>
          <w:sz w:val="20"/>
          <w:szCs w:val="20"/>
          <w:color w:val="auto"/>
        </w:rPr>
      </w:pPr>
    </w:p>
    <w:p>
      <w:pPr>
        <w:sectPr>
          <w:pgSz w:w="11900" w:h="16838" w:orient="portrait"/>
          <w:cols w:equalWidth="0" w:num="2">
            <w:col w:w="7160" w:space="720"/>
            <w:col w:w="3540"/>
          </w:cols>
          <w:pgMar w:left="240" w:top="1333" w:right="239" w:bottom="1440" w:gutter="0" w:footer="0" w:header="0"/>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TRANSAMERICA CASUALTY INSURANCE COMPANY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Series 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U.S. $2,500,000</w:t>
      </w:r>
    </w:p>
    <w:p>
      <w:pPr>
        <w:spacing w:after="0" w:line="60" w:lineRule="exact"/>
        <w:rPr>
          <w:sz w:val="20"/>
          <w:szCs w:val="20"/>
          <w:color w:val="auto"/>
        </w:rPr>
      </w:pPr>
    </w:p>
    <w:p>
      <w:pPr>
        <w:sectPr>
          <w:pgSz w:w="11900" w:h="16838" w:orient="portrait"/>
          <w:cols w:equalWidth="0" w:num="3">
            <w:col w:w="6820" w:space="720"/>
            <w:col w:w="1200" w:space="720"/>
            <w:col w:w="1960"/>
          </w:cols>
          <w:pgMar w:left="240" w:top="1333" w:right="239" w:bottom="1440" w:gutter="0" w:footer="0" w:header="0"/>
          <w:type w:val="continuous"/>
        </w:sectPr>
      </w:pPr>
    </w:p>
    <w:p>
      <w:pPr>
        <w:ind w:left="40"/>
        <w:spacing w:after="0"/>
        <w:rPr>
          <w:sz w:val="20"/>
          <w:szCs w:val="20"/>
          <w:color w:val="auto"/>
        </w:rPr>
      </w:pPr>
      <w:r>
        <w:rPr>
          <w:rFonts w:ascii="Arial" w:cs="Arial" w:eastAsia="Arial" w:hAnsi="Arial"/>
          <w:sz w:val="22"/>
          <w:szCs w:val="22"/>
          <w:color w:val="auto"/>
        </w:rPr>
        <w:t>c/o AEGON USA Investment Management, LLC</w:t>
      </w:r>
    </w:p>
    <w:p>
      <w:pPr>
        <w:ind w:left="40"/>
        <w:spacing w:after="0" w:line="230" w:lineRule="auto"/>
        <w:rPr>
          <w:sz w:val="20"/>
          <w:szCs w:val="20"/>
          <w:color w:val="auto"/>
        </w:rPr>
      </w:pPr>
      <w:r>
        <w:rPr>
          <w:rFonts w:ascii="Arial" w:cs="Arial" w:eastAsia="Arial" w:hAnsi="Arial"/>
          <w:sz w:val="22"/>
          <w:szCs w:val="22"/>
          <w:color w:val="auto"/>
        </w:rPr>
        <w:t>Attn: Custody Operations-Privates MS 5335</w:t>
      </w:r>
    </w:p>
    <w:p>
      <w:pPr>
        <w:ind w:left="40"/>
        <w:spacing w:after="0" w:line="231" w:lineRule="auto"/>
        <w:rPr>
          <w:sz w:val="20"/>
          <w:szCs w:val="20"/>
          <w:color w:val="auto"/>
        </w:rPr>
      </w:pPr>
      <w:r>
        <w:rPr>
          <w:rFonts w:ascii="Arial" w:cs="Arial" w:eastAsia="Arial" w:hAnsi="Arial"/>
          <w:sz w:val="22"/>
          <w:szCs w:val="22"/>
          <w:color w:val="auto"/>
        </w:rPr>
        <w:t>4333 Edgewood Road NE</w:t>
      </w:r>
    </w:p>
    <w:p>
      <w:pPr>
        <w:ind w:left="40"/>
        <w:spacing w:after="0"/>
        <w:rPr>
          <w:sz w:val="20"/>
          <w:szCs w:val="20"/>
          <w:color w:val="auto"/>
        </w:rPr>
      </w:pPr>
      <w:r>
        <w:rPr>
          <w:rFonts w:ascii="Arial" w:cs="Arial" w:eastAsia="Arial" w:hAnsi="Arial"/>
          <w:sz w:val="22"/>
          <w:szCs w:val="22"/>
          <w:color w:val="auto"/>
        </w:rPr>
        <w:t>Cedar Rapids, IA 52499-5335</w:t>
      </w:r>
    </w:p>
    <w:p>
      <w:pPr>
        <w:spacing w:after="0" w:line="26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Wire of payment due</w:t>
      </w:r>
    </w:p>
    <w:p>
      <w:pPr>
        <w:spacing w:after="0" w:line="281" w:lineRule="exact"/>
        <w:rPr>
          <w:sz w:val="20"/>
          <w:szCs w:val="20"/>
          <w:color w:val="auto"/>
        </w:rPr>
      </w:pPr>
    </w:p>
    <w:p>
      <w:pPr>
        <w:ind w:left="660"/>
        <w:spacing w:after="0" w:line="308" w:lineRule="auto"/>
        <w:rPr>
          <w:sz w:val="20"/>
          <w:szCs w:val="20"/>
          <w:color w:val="auto"/>
        </w:rPr>
      </w:pPr>
      <w:r>
        <w:rPr>
          <w:rFonts w:ascii="Arial" w:cs="Arial" w:eastAsia="Arial" w:hAnsi="Arial"/>
          <w:sz w:val="22"/>
          <w:szCs w:val="22"/>
          <w:color w:val="auto"/>
        </w:rPr>
        <w:t xml:space="preserve">All payments on account of the TRANSAMERICA CASUALTY INSURANCE COMPANY </w:t>
      </w:r>
      <w:r>
        <w:rPr>
          <w:rFonts w:ascii="Arial" w:cs="Arial" w:eastAsia="Arial" w:hAnsi="Arial"/>
          <w:sz w:val="22"/>
          <w:szCs w:val="22"/>
          <w:b w:val="1"/>
          <w:bCs w:val="1"/>
          <w:u w:val="single" w:color="auto"/>
          <w:color w:val="auto"/>
        </w:rPr>
        <w:t>shall be made by wire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transfer to</w:t>
      </w:r>
      <w:r>
        <w:rPr>
          <w:rFonts w:ascii="Arial" w:cs="Arial" w:eastAsia="Arial" w:hAnsi="Arial"/>
          <w:sz w:val="22"/>
          <w:szCs w:val="22"/>
          <w:b w:val="1"/>
          <w:bCs w:val="1"/>
          <w:color w:val="auto"/>
        </w:rPr>
        <w: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Bank of New York</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 Wall Street</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10286 USA</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ABA #021000018</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GLA111-566</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FFC ACCT#: TCIC LPG0 23 1011468400</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REFERENCE: CUSIP/PPN, PRINCIPAL &amp; INTEREST ALLOCATION</w:t>
      </w:r>
    </w:p>
    <w:p>
      <w:pPr>
        <w:spacing w:after="0" w:line="287" w:lineRule="exact"/>
        <w:rPr>
          <w:sz w:val="20"/>
          <w:szCs w:val="20"/>
          <w:color w:val="auto"/>
        </w:rPr>
      </w:pPr>
    </w:p>
    <w:p>
      <w:pPr>
        <w:ind w:left="440" w:hanging="432"/>
        <w:spacing w:after="0"/>
        <w:tabs>
          <w:tab w:leader="none" w:pos="44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Payment notice</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xml:space="preserve">All notices/confirmation of </w:t>
      </w:r>
      <w:r>
        <w:rPr>
          <w:rFonts w:ascii="Arial" w:cs="Arial" w:eastAsia="Arial" w:hAnsi="Arial"/>
          <w:sz w:val="22"/>
          <w:szCs w:val="22"/>
          <w:u w:val="single" w:color="auto"/>
          <w:color w:val="auto"/>
        </w:rPr>
        <w:t>PAYMENT</w:t>
      </w:r>
      <w:r>
        <w:rPr>
          <w:rFonts w:ascii="Arial" w:cs="Arial" w:eastAsia="Arial" w:hAnsi="Arial"/>
          <w:sz w:val="22"/>
          <w:szCs w:val="22"/>
          <w:color w:val="auto"/>
        </w:rPr>
        <w:t xml:space="preserve"> information should INCLUDE CUSIP/PPN in the Subject line and be sent to:</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paymentnotifications@aegonusa.com</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AEGON USA Investment Management, LLC</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Custody Operations-Privates MS 5335</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4333 Edgewood Road NE</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Cedar Rapids, IA 52499-5335</w:t>
      </w:r>
    </w:p>
    <w:p>
      <w:pPr>
        <w:sectPr>
          <w:pgSz w:w="11900" w:h="16838" w:orient="portrait"/>
          <w:cols w:equalWidth="0" w:num="1">
            <w:col w:w="11420"/>
          </w:cols>
          <w:pgMar w:left="240" w:top="1333" w:right="239" w:bottom="1440" w:gutter="0" w:footer="0" w:header="0"/>
          <w:type w:val="continuous"/>
        </w:sectPr>
      </w:pPr>
    </w:p>
    <w:bookmarkStart w:id="158" w:name="page159"/>
    <w:bookmarkEnd w:id="158"/>
    <w:p>
      <w:pPr>
        <w:ind w:left="2200"/>
        <w:spacing w:after="0"/>
        <w:rPr>
          <w:sz w:val="20"/>
          <w:szCs w:val="20"/>
          <w:color w:val="auto"/>
        </w:rPr>
      </w:pPr>
      <w:r>
        <w:rPr>
          <w:rFonts w:ascii="Arial" w:cs="Arial" w:eastAsia="Arial" w:hAnsi="Arial"/>
          <w:sz w:val="22"/>
          <w:szCs w:val="22"/>
          <w:b w:val="1"/>
          <w:bCs w:val="1"/>
          <w:color w:val="auto"/>
        </w:rPr>
        <w:t>FINANCIALS, LEGAL, PRE-PAYMENT AND OTHER NOTIFICATIONS</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 w:type="dxa"/>
            <w:vAlign w:val="bottom"/>
          </w:tcPr>
          <w:p>
            <w:pPr>
              <w:spacing w:after="0"/>
              <w:rPr>
                <w:sz w:val="21"/>
                <w:szCs w:val="21"/>
                <w:color w:val="auto"/>
              </w:rPr>
            </w:pPr>
          </w:p>
        </w:tc>
        <w:tc>
          <w:tcPr>
            <w:tcW w:w="5680" w:type="dxa"/>
            <w:vAlign w:val="bottom"/>
            <w:gridSpan w:val="4"/>
          </w:tcPr>
          <w:p>
            <w:pPr>
              <w:ind w:left="11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 Routine correspondence and reporting:</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spacing w:after="0"/>
              <w:rPr>
                <w:sz w:val="21"/>
                <w:szCs w:val="21"/>
                <w:color w:val="auto"/>
              </w:rPr>
            </w:pPr>
          </w:p>
        </w:tc>
      </w:tr>
      <w:tr>
        <w:trPr>
          <w:trHeight w:val="20"/>
        </w:trPr>
        <w:tc>
          <w:tcPr>
            <w:tcW w:w="180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6"/>
        </w:trPr>
        <w:tc>
          <w:tcPr>
            <w:tcW w:w="584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c>
          <w:tcPr>
            <w:tcW w:w="4920" w:type="dxa"/>
            <w:vAlign w:val="bottom"/>
            <w:gridSpan w:val="2"/>
          </w:tcPr>
          <w:p>
            <w:pPr>
              <w:ind w:left="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Attn: Director of Private Placements MS 5335</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Attn: Director of Private Placements, MS 3341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4333 Edgewood Road N.E.</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100 Light Street, B1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Cedar Rapids, IA 52499-5335</w:t>
            </w:r>
          </w:p>
        </w:tc>
        <w:tc>
          <w:tcPr>
            <w:tcW w:w="1100" w:type="dxa"/>
            <w:vAlign w:val="bottom"/>
          </w:tcPr>
          <w:p>
            <w:pPr>
              <w:ind w:left="940"/>
              <w:spacing w:after="0" w:line="243" w:lineRule="exact"/>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Baltimore, MD 21202-2559</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(319) 355-2432 | F (319) 355-2666</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(443) 475-3130 F (443) 475-3095</w:t>
            </w:r>
          </w:p>
        </w:tc>
      </w:tr>
      <w:tr>
        <w:trPr>
          <w:trHeight w:val="275"/>
        </w:trPr>
        <w:tc>
          <w:tcPr>
            <w:tcW w:w="160" w:type="dxa"/>
            <w:vAlign w:val="bottom"/>
          </w:tcPr>
          <w:p>
            <w:pPr>
              <w:spacing w:after="0"/>
              <w:rPr>
                <w:sz w:val="20"/>
                <w:szCs w:val="20"/>
                <w:color w:val="auto"/>
              </w:rPr>
            </w:pPr>
            <w:r>
              <w:rPr>
                <w:rFonts w:ascii="Arial" w:cs="Arial" w:eastAsia="Arial" w:hAnsi="Arial"/>
                <w:sz w:val="22"/>
                <w:szCs w:val="22"/>
                <w:color w:val="auto"/>
              </w:rPr>
              <w:t>•</w:t>
            </w:r>
          </w:p>
        </w:tc>
        <w:tc>
          <w:tcPr>
            <w:tcW w:w="5680" w:type="dxa"/>
            <w:vAlign w:val="bottom"/>
            <w:gridSpan w:val="4"/>
          </w:tcPr>
          <w:p>
            <w:pPr>
              <w:ind w:left="100"/>
              <w:spacing w:after="0"/>
              <w:rPr>
                <w:sz w:val="20"/>
                <w:szCs w:val="20"/>
                <w:color w:val="auto"/>
              </w:rPr>
            </w:pPr>
            <w:r>
              <w:rPr>
                <w:rFonts w:ascii="Arial" w:cs="Arial" w:eastAsia="Arial" w:hAnsi="Arial"/>
                <w:sz w:val="20"/>
                <w:szCs w:val="20"/>
                <w:color w:val="auto"/>
              </w:rPr>
              <w:t>privateplacements@aegonusa.com</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privateplacements@aegonusa.com</w:t>
            </w:r>
          </w:p>
        </w:tc>
      </w:tr>
      <w:tr>
        <w:trPr>
          <w:trHeight w:val="247"/>
        </w:trPr>
        <w:tc>
          <w:tcPr>
            <w:tcW w:w="160" w:type="dxa"/>
            <w:vAlign w:val="bottom"/>
          </w:tcPr>
          <w:p>
            <w:pPr>
              <w:spacing w:after="0"/>
              <w:rPr>
                <w:sz w:val="21"/>
                <w:szCs w:val="21"/>
                <w:color w:val="auto"/>
              </w:rPr>
            </w:pPr>
          </w:p>
        </w:tc>
        <w:tc>
          <w:tcPr>
            <w:tcW w:w="5680" w:type="dxa"/>
            <w:vAlign w:val="bottom"/>
            <w:gridSpan w:val="4"/>
          </w:tcPr>
          <w:p>
            <w:pPr>
              <w:ind w:left="1140"/>
              <w:spacing w:after="0" w:line="246"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B) Legal/Closing Documents:</w:t>
            </w:r>
          </w:p>
        </w:tc>
        <w:tc>
          <w:tcPr>
            <w:tcW w:w="1100" w:type="dxa"/>
            <w:vAlign w:val="bottom"/>
          </w:tcPr>
          <w:p>
            <w:pPr>
              <w:ind w:left="940"/>
              <w:spacing w:after="0" w:line="246" w:lineRule="exact"/>
              <w:rPr>
                <w:sz w:val="20"/>
                <w:szCs w:val="20"/>
                <w:color w:val="auto"/>
              </w:rPr>
            </w:pPr>
            <w:r>
              <w:rPr>
                <w:rFonts w:ascii="Arial" w:cs="Arial" w:eastAsia="Arial" w:hAnsi="Arial"/>
                <w:sz w:val="22"/>
                <w:szCs w:val="22"/>
                <w:color w:val="auto"/>
              </w:rPr>
              <w:t>•</w:t>
            </w:r>
          </w:p>
        </w:tc>
        <w:tc>
          <w:tcPr>
            <w:tcW w:w="3820" w:type="dxa"/>
            <w:vAlign w:val="bottom"/>
          </w:tcPr>
          <w:p>
            <w:pPr>
              <w:spacing w:after="0"/>
              <w:rPr>
                <w:sz w:val="21"/>
                <w:szCs w:val="21"/>
                <w:color w:val="auto"/>
              </w:rPr>
            </w:pPr>
          </w:p>
        </w:tc>
      </w:tr>
      <w:tr>
        <w:trPr>
          <w:trHeight w:val="20"/>
        </w:trPr>
        <w:tc>
          <w:tcPr>
            <w:tcW w:w="180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6"/>
        </w:trPr>
        <w:tc>
          <w:tcPr>
            <w:tcW w:w="584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c>
          <w:tcPr>
            <w:tcW w:w="4920" w:type="dxa"/>
            <w:vAlign w:val="bottom"/>
            <w:gridSpan w:val="2"/>
          </w:tcPr>
          <w:p>
            <w:pPr>
              <w:ind w:left="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Attn: Director of Private Placements MS 5335</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Attn: Director of Private Placements, MS 3341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4333 Edgewood Road N.E.</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100 Light Street, B1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Cedar Rapids, IA 52499-5335</w:t>
            </w:r>
          </w:p>
        </w:tc>
        <w:tc>
          <w:tcPr>
            <w:tcW w:w="1100" w:type="dxa"/>
            <w:vAlign w:val="bottom"/>
          </w:tcPr>
          <w:p>
            <w:pPr>
              <w:ind w:left="940"/>
              <w:spacing w:after="0" w:line="243" w:lineRule="exact"/>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Baltimore, MD 21202-2559</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(319) 355-2432 | F (319) 355-2666</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(443) 475-3130 F (443) 475-3095</w:t>
            </w:r>
          </w:p>
        </w:tc>
      </w:tr>
      <w:tr>
        <w:trPr>
          <w:trHeight w:val="275"/>
        </w:trPr>
        <w:tc>
          <w:tcPr>
            <w:tcW w:w="160" w:type="dxa"/>
            <w:vAlign w:val="bottom"/>
          </w:tcPr>
          <w:p>
            <w:pPr>
              <w:spacing w:after="0"/>
              <w:rPr>
                <w:sz w:val="20"/>
                <w:szCs w:val="20"/>
                <w:color w:val="auto"/>
              </w:rPr>
            </w:pPr>
            <w:r>
              <w:rPr>
                <w:rFonts w:ascii="Arial" w:cs="Arial" w:eastAsia="Arial" w:hAnsi="Arial"/>
                <w:sz w:val="22"/>
                <w:szCs w:val="22"/>
                <w:color w:val="auto"/>
              </w:rPr>
              <w:t>•</w:t>
            </w:r>
          </w:p>
        </w:tc>
        <w:tc>
          <w:tcPr>
            <w:tcW w:w="5680" w:type="dxa"/>
            <w:vAlign w:val="bottom"/>
            <w:gridSpan w:val="4"/>
          </w:tcPr>
          <w:p>
            <w:pPr>
              <w:ind w:left="100"/>
              <w:spacing w:after="0"/>
              <w:rPr>
                <w:sz w:val="20"/>
                <w:szCs w:val="20"/>
                <w:color w:val="auto"/>
              </w:rPr>
            </w:pPr>
            <w:r>
              <w:rPr>
                <w:rFonts w:ascii="Arial" w:cs="Arial" w:eastAsia="Arial" w:hAnsi="Arial"/>
                <w:sz w:val="20"/>
                <w:szCs w:val="20"/>
                <w:color w:val="auto"/>
              </w:rPr>
              <w:t>privateplacements@aegonusa.com</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privateplacements@aegonusa.com</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TAX ID #31-4423946</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i w:val="1"/>
          <w:iCs w:val="1"/>
          <w:color w:val="auto"/>
        </w:rPr>
        <w:t>ORIGINAL NOTE</w:t>
      </w:r>
    </w:p>
    <w:p>
      <w:pPr>
        <w:spacing w:after="0" w:line="242"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 signed copy of the Note </w:t>
      </w:r>
      <w:r>
        <w:rPr>
          <w:rFonts w:ascii="Arial" w:cs="Arial" w:eastAsia="Arial" w:hAnsi="Arial"/>
          <w:sz w:val="19"/>
          <w:szCs w:val="19"/>
          <w:b w:val="1"/>
          <w:bCs w:val="1"/>
          <w:i w:val="1"/>
          <w:iCs w:val="1"/>
          <w:u w:val="single" w:color="auto"/>
          <w:color w:val="auto"/>
        </w:rPr>
        <w:t>MUST</w:t>
      </w:r>
      <w:r>
        <w:rPr>
          <w:rFonts w:ascii="Arial" w:cs="Arial" w:eastAsia="Arial" w:hAnsi="Arial"/>
          <w:sz w:val="19"/>
          <w:szCs w:val="19"/>
          <w:i w:val="1"/>
          <w:iCs w:val="1"/>
          <w:color w:val="auto"/>
        </w:rPr>
        <w:t xml:space="preserve"> be sent to Custody Operations-Privates for verification via fax 888-652-8024 or email</w:t>
      </w:r>
    </w:p>
    <w:p>
      <w:pPr>
        <w:spacing w:after="0" w:line="78" w:lineRule="exact"/>
        <w:rPr>
          <w:rFonts w:ascii="Arial" w:cs="Arial" w:eastAsia="Arial" w:hAnsi="Arial"/>
          <w:sz w:val="19"/>
          <w:szCs w:val="19"/>
          <w:i w:val="1"/>
          <w:iCs w:val="1"/>
          <w:color w:val="auto"/>
        </w:rPr>
      </w:pPr>
    </w:p>
    <w:p>
      <w:pPr>
        <w:ind w:left="660"/>
        <w:spacing w:after="0"/>
        <w:rPr>
          <w:rFonts w:ascii="Arial" w:cs="Arial" w:eastAsia="Arial" w:hAnsi="Arial"/>
          <w:sz w:val="19"/>
          <w:szCs w:val="19"/>
          <w:i w:val="1"/>
          <w:iCs w:val="1"/>
          <w:color w:val="auto"/>
        </w:rPr>
      </w:pPr>
      <w:r>
        <w:rPr>
          <w:rFonts w:ascii="Arial" w:cs="Arial" w:eastAsia="Arial" w:hAnsi="Arial"/>
          <w:sz w:val="22"/>
          <w:szCs w:val="22"/>
          <w:b w:val="1"/>
          <w:bCs w:val="1"/>
          <w:i w:val="1"/>
          <w:iCs w:val="1"/>
          <w:u w:val="single" w:color="auto"/>
          <w:color w:val="auto"/>
        </w:rPr>
        <w:t>INVCustodyTeam@AEGONUSA.com</w:t>
      </w:r>
    </w:p>
    <w:p>
      <w:pPr>
        <w:spacing w:after="0" w:line="287" w:lineRule="exact"/>
        <w:rPr>
          <w:rFonts w:ascii="Arial" w:cs="Arial" w:eastAsia="Arial" w:hAnsi="Arial"/>
          <w:sz w:val="19"/>
          <w:szCs w:val="19"/>
          <w:i w:val="1"/>
          <w:iCs w:val="1"/>
          <w:color w:val="auto"/>
        </w:rPr>
      </w:pPr>
    </w:p>
    <w:p>
      <w:pPr>
        <w:ind w:left="660" w:right="180" w:hanging="652"/>
        <w:spacing w:after="0" w:line="302" w:lineRule="auto"/>
        <w:tabs>
          <w:tab w:leader="none" w:pos="660" w:val="left"/>
        </w:tabs>
        <w:numPr>
          <w:ilvl w:val="0"/>
          <w:numId w:val="120"/>
        </w:numPr>
        <w:rPr>
          <w:rFonts w:ascii="Arial" w:cs="Arial" w:eastAsia="Arial" w:hAnsi="Arial"/>
          <w:sz w:val="22"/>
          <w:szCs w:val="22"/>
          <w:i w:val="1"/>
          <w:iCs w:val="1"/>
          <w:color w:val="auto"/>
        </w:rPr>
      </w:pPr>
      <w:r>
        <w:rPr>
          <w:rFonts w:ascii="Arial" w:cs="Arial" w:eastAsia="Arial" w:hAnsi="Arial"/>
          <w:sz w:val="22"/>
          <w:szCs w:val="22"/>
          <w:i w:val="1"/>
          <w:iCs w:val="1"/>
          <w:color w:val="auto"/>
        </w:rPr>
        <w:t>Once the note has been verified, the Custody Bank Instructions will then be relayed to you via fax or email, which will contain the Custody Vault address where the original certificate needs to be sent.</w:t>
      </w:r>
    </w:p>
    <w:p>
      <w:pPr>
        <w:sectPr>
          <w:pgSz w:w="11900" w:h="16838" w:orient="portrait"/>
          <w:cols w:equalWidth="0" w:num="1">
            <w:col w:w="11040"/>
          </w:cols>
          <w:pgMar w:left="240" w:top="1179" w:right="619" w:bottom="1440" w:gutter="0" w:footer="0" w:header="0"/>
        </w:sectPr>
      </w:pPr>
    </w:p>
    <w:bookmarkStart w:id="159" w:name="page160"/>
    <w:bookmarkEnd w:id="159"/>
    <w:p>
      <w:pPr>
        <w:spacing w:after="0" w:line="243" w:lineRule="exact"/>
        <w:rPr>
          <w:sz w:val="20"/>
          <w:szCs w:val="20"/>
          <w:color w:val="auto"/>
        </w:rPr>
      </w:pPr>
    </w:p>
    <w:p>
      <w:pPr>
        <w:ind w:left="2032"/>
        <w:spacing w:after="0"/>
        <w:rPr>
          <w:sz w:val="20"/>
          <w:szCs w:val="20"/>
          <w:color w:val="auto"/>
        </w:rPr>
      </w:pPr>
      <w:r>
        <w:rPr>
          <w:rFonts w:ascii="Arial" w:cs="Arial" w:eastAsia="Arial" w:hAnsi="Arial"/>
          <w:sz w:val="19"/>
          <w:szCs w:val="19"/>
          <w:color w:val="auto"/>
        </w:rPr>
        <w:t>Name and Address of Purchaser</w:t>
      </w:r>
    </w:p>
    <w:p>
      <w:pPr>
        <w:spacing w:after="0" w:line="316" w:lineRule="exact"/>
        <w:rPr>
          <w:sz w:val="20"/>
          <w:szCs w:val="20"/>
          <w:color w:val="auto"/>
        </w:rPr>
      </w:pPr>
    </w:p>
    <w:p>
      <w:pPr>
        <w:ind w:left="32" w:right="2520"/>
        <w:spacing w:after="0" w:line="237" w:lineRule="auto"/>
        <w:rPr>
          <w:sz w:val="20"/>
          <w:szCs w:val="20"/>
          <w:color w:val="auto"/>
        </w:rPr>
      </w:pPr>
      <w:r>
        <w:rPr>
          <w:rFonts w:ascii="Arial" w:cs="Arial" w:eastAsia="Arial" w:hAnsi="Arial"/>
          <w:sz w:val="22"/>
          <w:szCs w:val="22"/>
          <w:b w:val="1"/>
          <w:bCs w:val="1"/>
          <w:color w:val="auto"/>
        </w:rPr>
        <w:t xml:space="preserve">TLIC OAKBROOK REINSURANCE INC. </w:t>
      </w:r>
      <w:r>
        <w:rPr>
          <w:rFonts w:ascii="Arial" w:cs="Arial" w:eastAsia="Arial" w:hAnsi="Arial"/>
          <w:sz w:val="22"/>
          <w:szCs w:val="22"/>
          <w:color w:val="auto"/>
        </w:rPr>
        <w:t>c/o AEGON USA Investment Management, LLC Attn: Custody Operations-Privates MS 5335 4333 Edgewood Road NE Cedar Rapids, IA 52499-5335</w:t>
      </w:r>
    </w:p>
    <w:p>
      <w:pPr>
        <w:spacing w:after="0" w:line="270" w:lineRule="exact"/>
        <w:rPr>
          <w:sz w:val="20"/>
          <w:szCs w:val="20"/>
          <w:color w:val="auto"/>
        </w:rPr>
      </w:pPr>
    </w:p>
    <w:p>
      <w:pPr>
        <w:ind w:left="452" w:hanging="452"/>
        <w:spacing w:after="0"/>
        <w:tabs>
          <w:tab w:leader="none" w:pos="452"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Wire of payment due</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22"/>
          <w:szCs w:val="22"/>
          <w:color w:val="auto"/>
        </w:rPr>
        <w:t>Principal Amount and Series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of Notes to Be Purchased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20" w:type="dxa"/>
            <w:vAlign w:val="bottom"/>
          </w:tcPr>
          <w:p>
            <w:pPr>
              <w:spacing w:after="0"/>
              <w:rPr>
                <w:sz w:val="20"/>
                <w:szCs w:val="20"/>
                <w:color w:val="auto"/>
              </w:rPr>
            </w:pPr>
            <w:r>
              <w:rPr>
                <w:rFonts w:ascii="Arial" w:cs="Arial" w:eastAsia="Arial" w:hAnsi="Arial"/>
                <w:sz w:val="22"/>
                <w:szCs w:val="22"/>
                <w:color w:val="auto"/>
              </w:rPr>
              <w:t>Series A</w:t>
            </w:r>
          </w:p>
        </w:tc>
        <w:tc>
          <w:tcPr>
            <w:tcW w:w="2020" w:type="dxa"/>
            <w:vAlign w:val="bottom"/>
          </w:tcPr>
          <w:p>
            <w:pPr>
              <w:ind w:left="600"/>
              <w:spacing w:after="0"/>
              <w:rPr>
                <w:sz w:val="20"/>
                <w:szCs w:val="20"/>
                <w:color w:val="auto"/>
              </w:rPr>
            </w:pPr>
            <w:r>
              <w:rPr>
                <w:rFonts w:ascii="Arial" w:cs="Arial" w:eastAsia="Arial" w:hAnsi="Arial"/>
                <w:sz w:val="22"/>
                <w:szCs w:val="22"/>
                <w:color w:val="auto"/>
                <w:w w:val="88"/>
              </w:rPr>
              <w:t>U.S. $2,500,000</w:t>
            </w:r>
          </w:p>
        </w:tc>
      </w:tr>
    </w:tbl>
    <w:p>
      <w:pPr>
        <w:spacing w:after="0" w:line="1718" w:lineRule="exact"/>
        <w:rPr>
          <w:sz w:val="20"/>
          <w:szCs w:val="20"/>
          <w:color w:val="auto"/>
        </w:rPr>
      </w:pPr>
    </w:p>
    <w:p>
      <w:pPr>
        <w:sectPr>
          <w:pgSz w:w="11900" w:h="16838" w:orient="portrait"/>
          <w:cols w:equalWidth="0" w:num="2">
            <w:col w:w="6812" w:space="720"/>
            <w:col w:w="3340"/>
          </w:cols>
          <w:pgMar w:left="248" w:top="1334" w:right="779" w:bottom="1440" w:gutter="0" w:footer="0" w:header="0"/>
        </w:sectPr>
      </w:pPr>
    </w:p>
    <w:p>
      <w:pPr>
        <w:spacing w:after="0" w:line="81" w:lineRule="exact"/>
        <w:rPr>
          <w:sz w:val="20"/>
          <w:szCs w:val="20"/>
          <w:color w:val="auto"/>
        </w:rPr>
      </w:pPr>
    </w:p>
    <w:p>
      <w:pPr>
        <w:ind w:left="652"/>
        <w:spacing w:after="0"/>
        <w:rPr>
          <w:sz w:val="20"/>
          <w:szCs w:val="20"/>
          <w:color w:val="auto"/>
        </w:rPr>
      </w:pPr>
      <w:r>
        <w:rPr>
          <w:rFonts w:ascii="Arial" w:cs="Arial" w:eastAsia="Arial" w:hAnsi="Arial"/>
          <w:sz w:val="21"/>
          <w:szCs w:val="21"/>
          <w:color w:val="auto"/>
        </w:rPr>
        <w:t xml:space="preserve">All payments on account of the TLIC OAKBROOK REINSURANCE INC. </w:t>
      </w:r>
      <w:r>
        <w:rPr>
          <w:rFonts w:ascii="Arial" w:cs="Arial" w:eastAsia="Arial" w:hAnsi="Arial"/>
          <w:sz w:val="21"/>
          <w:szCs w:val="21"/>
          <w:b w:val="1"/>
          <w:bCs w:val="1"/>
          <w:u w:val="single" w:color="auto"/>
          <w:color w:val="auto"/>
        </w:rPr>
        <w:t>shall be made by wire transfer to</w:t>
      </w:r>
      <w:r>
        <w:rPr>
          <w:rFonts w:ascii="Arial" w:cs="Arial" w:eastAsia="Arial" w:hAnsi="Arial"/>
          <w:sz w:val="21"/>
          <w:szCs w:val="21"/>
          <w:b w:val="1"/>
          <w:bCs w:val="1"/>
          <w:color w:val="auto"/>
        </w:rPr>
        <w:t>:</w:t>
      </w:r>
    </w:p>
    <w:p>
      <w:pPr>
        <w:spacing w:after="0" w:line="305"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Citibank, N.A.</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111 Wall Street</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New York, NY 10043 USA</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ABA #021000089</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DDA #36218394</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Custody Account No. 215819</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FFC: TORI NMS0 L5 R</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REFERENCE: CUSIP/PPN, PRINCIPAL &amp; INTEREST ALLOCATION</w:t>
      </w:r>
    </w:p>
    <w:p>
      <w:pPr>
        <w:spacing w:after="0" w:line="287" w:lineRule="exact"/>
        <w:rPr>
          <w:sz w:val="20"/>
          <w:szCs w:val="20"/>
          <w:color w:val="auto"/>
        </w:rPr>
      </w:pPr>
    </w:p>
    <w:p>
      <w:pPr>
        <w:ind w:left="432" w:hanging="432"/>
        <w:spacing w:after="0"/>
        <w:tabs>
          <w:tab w:leader="none" w:pos="432"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Payment notice</w:t>
      </w:r>
    </w:p>
    <w:p>
      <w:pPr>
        <w:spacing w:after="0" w:line="287" w:lineRule="exact"/>
        <w:rPr>
          <w:sz w:val="20"/>
          <w:szCs w:val="20"/>
          <w:color w:val="auto"/>
        </w:rPr>
      </w:pPr>
    </w:p>
    <w:p>
      <w:pPr>
        <w:ind w:left="652"/>
        <w:spacing w:after="0"/>
        <w:rPr>
          <w:sz w:val="20"/>
          <w:szCs w:val="20"/>
          <w:color w:val="auto"/>
        </w:rPr>
      </w:pPr>
      <w:r>
        <w:rPr>
          <w:rFonts w:ascii="Arial" w:cs="Arial" w:eastAsia="Arial" w:hAnsi="Arial"/>
          <w:sz w:val="19"/>
          <w:szCs w:val="19"/>
          <w:color w:val="auto"/>
        </w:rPr>
        <w:t xml:space="preserve">All notices/confirmation of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information should INCLUDE CUSIP/PPN in the Subject line and be sent to:</w:t>
      </w:r>
    </w:p>
    <w:p>
      <w:pPr>
        <w:spacing w:after="0" w:line="32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Email: paymentnotifications@aegonusa.com</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AEGON USA Investment Management, LLC</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Attn: Custody Operations-Privates MS 5335</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4333 Edgewood Road NE</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Cedar Rapids, IA 52499-5335</w:t>
      </w:r>
    </w:p>
    <w:p>
      <w:pPr>
        <w:sectPr>
          <w:pgSz w:w="11900" w:h="16838" w:orient="portrait"/>
          <w:cols w:equalWidth="0" w:num="1">
            <w:col w:w="10872"/>
          </w:cols>
          <w:pgMar w:left="248" w:top="1334" w:right="779" w:bottom="1440" w:gutter="0" w:footer="0" w:header="0"/>
          <w:type w:val="continuous"/>
        </w:sectPr>
      </w:pPr>
    </w:p>
    <w:bookmarkStart w:id="160" w:name="page161"/>
    <w:bookmarkEnd w:id="160"/>
    <w:p>
      <w:pPr>
        <w:ind w:left="2200"/>
        <w:spacing w:after="0"/>
        <w:rPr>
          <w:sz w:val="20"/>
          <w:szCs w:val="20"/>
          <w:color w:val="auto"/>
        </w:rPr>
      </w:pPr>
      <w:r>
        <w:rPr>
          <w:rFonts w:ascii="Arial" w:cs="Arial" w:eastAsia="Arial" w:hAnsi="Arial"/>
          <w:sz w:val="22"/>
          <w:szCs w:val="22"/>
          <w:b w:val="1"/>
          <w:bCs w:val="1"/>
          <w:color w:val="auto"/>
        </w:rPr>
        <w:t>FINANCIALS, LEGAL, PRE-PAYMENT AND OTHER NOTIFICATIONS</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 w:type="dxa"/>
            <w:vAlign w:val="bottom"/>
          </w:tcPr>
          <w:p>
            <w:pPr>
              <w:spacing w:after="0"/>
              <w:rPr>
                <w:sz w:val="21"/>
                <w:szCs w:val="21"/>
                <w:color w:val="auto"/>
              </w:rPr>
            </w:pPr>
          </w:p>
        </w:tc>
        <w:tc>
          <w:tcPr>
            <w:tcW w:w="5680" w:type="dxa"/>
            <w:vAlign w:val="bottom"/>
            <w:gridSpan w:val="4"/>
          </w:tcPr>
          <w:p>
            <w:pPr>
              <w:ind w:left="11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 Routine correspondence and reporting:</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spacing w:after="0"/>
              <w:rPr>
                <w:sz w:val="21"/>
                <w:szCs w:val="21"/>
                <w:color w:val="auto"/>
              </w:rPr>
            </w:pPr>
          </w:p>
        </w:tc>
      </w:tr>
      <w:tr>
        <w:trPr>
          <w:trHeight w:val="20"/>
        </w:trPr>
        <w:tc>
          <w:tcPr>
            <w:tcW w:w="180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6"/>
        </w:trPr>
        <w:tc>
          <w:tcPr>
            <w:tcW w:w="584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c>
          <w:tcPr>
            <w:tcW w:w="4920" w:type="dxa"/>
            <w:vAlign w:val="bottom"/>
            <w:gridSpan w:val="2"/>
          </w:tcPr>
          <w:p>
            <w:pPr>
              <w:ind w:left="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Attn: Director of Private Placements MS 5335</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Attn: Director of Private Placements, MS 3341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4333 Edgewood Road N.E.</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100 Light Street, B1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Cedar Rapids, IA 52499-5335</w:t>
            </w:r>
          </w:p>
        </w:tc>
        <w:tc>
          <w:tcPr>
            <w:tcW w:w="1100" w:type="dxa"/>
            <w:vAlign w:val="bottom"/>
          </w:tcPr>
          <w:p>
            <w:pPr>
              <w:ind w:left="940"/>
              <w:spacing w:after="0" w:line="243" w:lineRule="exact"/>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Baltimore, MD 21202-2559</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(319) 355-2432 | F (319) 355-2666</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(443) 475-3130 F (443) 475-3095</w:t>
            </w:r>
          </w:p>
        </w:tc>
      </w:tr>
      <w:tr>
        <w:trPr>
          <w:trHeight w:val="275"/>
        </w:trPr>
        <w:tc>
          <w:tcPr>
            <w:tcW w:w="160" w:type="dxa"/>
            <w:vAlign w:val="bottom"/>
          </w:tcPr>
          <w:p>
            <w:pPr>
              <w:spacing w:after="0"/>
              <w:rPr>
                <w:sz w:val="20"/>
                <w:szCs w:val="20"/>
                <w:color w:val="auto"/>
              </w:rPr>
            </w:pPr>
            <w:r>
              <w:rPr>
                <w:rFonts w:ascii="Arial" w:cs="Arial" w:eastAsia="Arial" w:hAnsi="Arial"/>
                <w:sz w:val="22"/>
                <w:szCs w:val="22"/>
                <w:color w:val="auto"/>
              </w:rPr>
              <w:t>•</w:t>
            </w:r>
          </w:p>
        </w:tc>
        <w:tc>
          <w:tcPr>
            <w:tcW w:w="5680" w:type="dxa"/>
            <w:vAlign w:val="bottom"/>
            <w:gridSpan w:val="4"/>
          </w:tcPr>
          <w:p>
            <w:pPr>
              <w:ind w:left="100"/>
              <w:spacing w:after="0"/>
              <w:rPr>
                <w:sz w:val="20"/>
                <w:szCs w:val="20"/>
                <w:color w:val="auto"/>
              </w:rPr>
            </w:pPr>
            <w:r>
              <w:rPr>
                <w:rFonts w:ascii="Arial" w:cs="Arial" w:eastAsia="Arial" w:hAnsi="Arial"/>
                <w:sz w:val="20"/>
                <w:szCs w:val="20"/>
                <w:color w:val="auto"/>
              </w:rPr>
              <w:t>privateplacements@aegonusa.com</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privateplacements@aegonusa.com</w:t>
            </w:r>
          </w:p>
        </w:tc>
      </w:tr>
      <w:tr>
        <w:trPr>
          <w:trHeight w:val="247"/>
        </w:trPr>
        <w:tc>
          <w:tcPr>
            <w:tcW w:w="160" w:type="dxa"/>
            <w:vAlign w:val="bottom"/>
          </w:tcPr>
          <w:p>
            <w:pPr>
              <w:spacing w:after="0"/>
              <w:rPr>
                <w:sz w:val="21"/>
                <w:szCs w:val="21"/>
                <w:color w:val="auto"/>
              </w:rPr>
            </w:pPr>
          </w:p>
        </w:tc>
        <w:tc>
          <w:tcPr>
            <w:tcW w:w="5680" w:type="dxa"/>
            <w:vAlign w:val="bottom"/>
            <w:gridSpan w:val="4"/>
          </w:tcPr>
          <w:p>
            <w:pPr>
              <w:ind w:left="1140"/>
              <w:spacing w:after="0" w:line="246"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B) Legal/Closing Documents:</w:t>
            </w:r>
          </w:p>
        </w:tc>
        <w:tc>
          <w:tcPr>
            <w:tcW w:w="1100" w:type="dxa"/>
            <w:vAlign w:val="bottom"/>
          </w:tcPr>
          <w:p>
            <w:pPr>
              <w:ind w:left="940"/>
              <w:spacing w:after="0" w:line="246" w:lineRule="exact"/>
              <w:rPr>
                <w:sz w:val="20"/>
                <w:szCs w:val="20"/>
                <w:color w:val="auto"/>
              </w:rPr>
            </w:pPr>
            <w:r>
              <w:rPr>
                <w:rFonts w:ascii="Arial" w:cs="Arial" w:eastAsia="Arial" w:hAnsi="Arial"/>
                <w:sz w:val="22"/>
                <w:szCs w:val="22"/>
                <w:color w:val="auto"/>
              </w:rPr>
              <w:t>•</w:t>
            </w:r>
          </w:p>
        </w:tc>
        <w:tc>
          <w:tcPr>
            <w:tcW w:w="3820" w:type="dxa"/>
            <w:vAlign w:val="bottom"/>
          </w:tcPr>
          <w:p>
            <w:pPr>
              <w:spacing w:after="0"/>
              <w:rPr>
                <w:sz w:val="21"/>
                <w:szCs w:val="21"/>
                <w:color w:val="auto"/>
              </w:rPr>
            </w:pPr>
          </w:p>
        </w:tc>
      </w:tr>
      <w:tr>
        <w:trPr>
          <w:trHeight w:val="20"/>
        </w:trPr>
        <w:tc>
          <w:tcPr>
            <w:tcW w:w="180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6"/>
        </w:trPr>
        <w:tc>
          <w:tcPr>
            <w:tcW w:w="584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c>
          <w:tcPr>
            <w:tcW w:w="4920" w:type="dxa"/>
            <w:vAlign w:val="bottom"/>
            <w:gridSpan w:val="2"/>
          </w:tcPr>
          <w:p>
            <w:pPr>
              <w:ind w:left="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Attn: Director of Private Placements MS 5335</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Attn: Director of Private Placements, MS 3341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4333 Edgewood Road N.E.</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100 Light Street, B1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Cedar Rapids, IA 52499-5335</w:t>
            </w:r>
          </w:p>
        </w:tc>
        <w:tc>
          <w:tcPr>
            <w:tcW w:w="1100" w:type="dxa"/>
            <w:vAlign w:val="bottom"/>
          </w:tcPr>
          <w:p>
            <w:pPr>
              <w:ind w:left="940"/>
              <w:spacing w:after="0" w:line="243" w:lineRule="exact"/>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Baltimore, MD 21202-2559</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(319) 355-2432 | F (319) 355-2666</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(443) 475-3130 F (443) 475-3095</w:t>
            </w:r>
          </w:p>
        </w:tc>
      </w:tr>
      <w:tr>
        <w:trPr>
          <w:trHeight w:val="275"/>
        </w:trPr>
        <w:tc>
          <w:tcPr>
            <w:tcW w:w="160" w:type="dxa"/>
            <w:vAlign w:val="bottom"/>
          </w:tcPr>
          <w:p>
            <w:pPr>
              <w:spacing w:after="0"/>
              <w:rPr>
                <w:sz w:val="20"/>
                <w:szCs w:val="20"/>
                <w:color w:val="auto"/>
              </w:rPr>
            </w:pPr>
            <w:r>
              <w:rPr>
                <w:rFonts w:ascii="Arial" w:cs="Arial" w:eastAsia="Arial" w:hAnsi="Arial"/>
                <w:sz w:val="22"/>
                <w:szCs w:val="22"/>
                <w:color w:val="auto"/>
              </w:rPr>
              <w:t>•</w:t>
            </w:r>
          </w:p>
        </w:tc>
        <w:tc>
          <w:tcPr>
            <w:tcW w:w="5680" w:type="dxa"/>
            <w:vAlign w:val="bottom"/>
            <w:gridSpan w:val="4"/>
          </w:tcPr>
          <w:p>
            <w:pPr>
              <w:ind w:left="100"/>
              <w:spacing w:after="0"/>
              <w:rPr>
                <w:sz w:val="20"/>
                <w:szCs w:val="20"/>
                <w:color w:val="auto"/>
              </w:rPr>
            </w:pPr>
            <w:r>
              <w:rPr>
                <w:rFonts w:ascii="Arial" w:cs="Arial" w:eastAsia="Arial" w:hAnsi="Arial"/>
                <w:sz w:val="20"/>
                <w:szCs w:val="20"/>
                <w:color w:val="auto"/>
              </w:rPr>
              <w:t>privateplacements@aegonusa.com</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privateplacements@aegonusa.com</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TAX ID #47-1026613</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i w:val="1"/>
          <w:iCs w:val="1"/>
          <w:color w:val="auto"/>
        </w:rPr>
        <w:t>ORIGINAL NOTE</w:t>
      </w:r>
    </w:p>
    <w:p>
      <w:pPr>
        <w:spacing w:after="0" w:line="242"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 signed copy of the Note </w:t>
      </w:r>
      <w:r>
        <w:rPr>
          <w:rFonts w:ascii="Arial" w:cs="Arial" w:eastAsia="Arial" w:hAnsi="Arial"/>
          <w:sz w:val="19"/>
          <w:szCs w:val="19"/>
          <w:b w:val="1"/>
          <w:bCs w:val="1"/>
          <w:i w:val="1"/>
          <w:iCs w:val="1"/>
          <w:u w:val="single" w:color="auto"/>
          <w:color w:val="auto"/>
        </w:rPr>
        <w:t>MUST</w:t>
      </w:r>
      <w:r>
        <w:rPr>
          <w:rFonts w:ascii="Arial" w:cs="Arial" w:eastAsia="Arial" w:hAnsi="Arial"/>
          <w:sz w:val="19"/>
          <w:szCs w:val="19"/>
          <w:i w:val="1"/>
          <w:iCs w:val="1"/>
          <w:color w:val="auto"/>
        </w:rPr>
        <w:t xml:space="preserve"> be sent to Custody Operations-Privates for verification via fax 888-652-8024 or email</w:t>
      </w:r>
    </w:p>
    <w:p>
      <w:pPr>
        <w:spacing w:after="0" w:line="78" w:lineRule="exact"/>
        <w:rPr>
          <w:rFonts w:ascii="Arial" w:cs="Arial" w:eastAsia="Arial" w:hAnsi="Arial"/>
          <w:sz w:val="19"/>
          <w:szCs w:val="19"/>
          <w:i w:val="1"/>
          <w:iCs w:val="1"/>
          <w:color w:val="auto"/>
        </w:rPr>
      </w:pPr>
    </w:p>
    <w:p>
      <w:pPr>
        <w:ind w:left="660"/>
        <w:spacing w:after="0"/>
        <w:rPr>
          <w:rFonts w:ascii="Arial" w:cs="Arial" w:eastAsia="Arial" w:hAnsi="Arial"/>
          <w:sz w:val="19"/>
          <w:szCs w:val="19"/>
          <w:i w:val="1"/>
          <w:iCs w:val="1"/>
          <w:color w:val="auto"/>
        </w:rPr>
      </w:pPr>
      <w:r>
        <w:rPr>
          <w:rFonts w:ascii="Arial" w:cs="Arial" w:eastAsia="Arial" w:hAnsi="Arial"/>
          <w:sz w:val="22"/>
          <w:szCs w:val="22"/>
          <w:b w:val="1"/>
          <w:bCs w:val="1"/>
          <w:i w:val="1"/>
          <w:iCs w:val="1"/>
          <w:u w:val="single" w:color="auto"/>
          <w:color w:val="auto"/>
        </w:rPr>
        <w:t>INVCustodyTeam@AEGONUSA.com</w:t>
      </w:r>
    </w:p>
    <w:p>
      <w:pPr>
        <w:spacing w:after="0" w:line="287" w:lineRule="exact"/>
        <w:rPr>
          <w:rFonts w:ascii="Arial" w:cs="Arial" w:eastAsia="Arial" w:hAnsi="Arial"/>
          <w:sz w:val="19"/>
          <w:szCs w:val="19"/>
          <w:i w:val="1"/>
          <w:iCs w:val="1"/>
          <w:color w:val="auto"/>
        </w:rPr>
      </w:pPr>
    </w:p>
    <w:p>
      <w:pPr>
        <w:ind w:left="660" w:right="180" w:hanging="652"/>
        <w:spacing w:after="0" w:line="302" w:lineRule="auto"/>
        <w:tabs>
          <w:tab w:leader="none" w:pos="660" w:val="left"/>
        </w:tabs>
        <w:numPr>
          <w:ilvl w:val="0"/>
          <w:numId w:val="123"/>
        </w:numPr>
        <w:rPr>
          <w:rFonts w:ascii="Arial" w:cs="Arial" w:eastAsia="Arial" w:hAnsi="Arial"/>
          <w:sz w:val="22"/>
          <w:szCs w:val="22"/>
          <w:i w:val="1"/>
          <w:iCs w:val="1"/>
          <w:color w:val="auto"/>
        </w:rPr>
      </w:pPr>
      <w:r>
        <w:rPr>
          <w:rFonts w:ascii="Arial" w:cs="Arial" w:eastAsia="Arial" w:hAnsi="Arial"/>
          <w:sz w:val="22"/>
          <w:szCs w:val="22"/>
          <w:i w:val="1"/>
          <w:iCs w:val="1"/>
          <w:color w:val="auto"/>
        </w:rPr>
        <w:t>Once the note has been verified, the Custody Bank Instructions will then be relayed to you via fax or email, which will contain the Custody Vault address where the original certificate needs to be sent.</w:t>
      </w:r>
    </w:p>
    <w:p>
      <w:pPr>
        <w:sectPr>
          <w:pgSz w:w="11900" w:h="16838" w:orient="portrait"/>
          <w:cols w:equalWidth="0" w:num="1">
            <w:col w:w="11040"/>
          </w:cols>
          <w:pgMar w:left="240" w:top="1179" w:right="619" w:bottom="1440" w:gutter="0" w:footer="0" w:header="0"/>
        </w:sectPr>
      </w:pPr>
    </w:p>
    <w:bookmarkStart w:id="161" w:name="page162"/>
    <w:bookmarkEnd w:id="161"/>
    <w:p>
      <w:pPr>
        <w:spacing w:after="0" w:line="243" w:lineRule="exact"/>
        <w:rPr>
          <w:sz w:val="20"/>
          <w:szCs w:val="20"/>
          <w:color w:val="auto"/>
        </w:rPr>
      </w:pPr>
    </w:p>
    <w:p>
      <w:pPr>
        <w:ind w:left="2032"/>
        <w:spacing w:after="0"/>
        <w:rPr>
          <w:sz w:val="20"/>
          <w:szCs w:val="20"/>
          <w:color w:val="auto"/>
        </w:rPr>
      </w:pPr>
      <w:r>
        <w:rPr>
          <w:rFonts w:ascii="Arial" w:cs="Arial" w:eastAsia="Arial" w:hAnsi="Arial"/>
          <w:sz w:val="22"/>
          <w:szCs w:val="22"/>
          <w:color w:val="auto"/>
        </w:rPr>
        <w:t>Name and Address of Purchaser</w:t>
      </w:r>
    </w:p>
    <w:p>
      <w:pPr>
        <w:spacing w:after="0" w:line="281" w:lineRule="exact"/>
        <w:rPr>
          <w:sz w:val="20"/>
          <w:szCs w:val="20"/>
          <w:color w:val="auto"/>
        </w:rPr>
      </w:pPr>
    </w:p>
    <w:p>
      <w:pPr>
        <w:ind w:left="32" w:right="860"/>
        <w:spacing w:after="0" w:line="242" w:lineRule="auto"/>
        <w:rPr>
          <w:sz w:val="20"/>
          <w:szCs w:val="20"/>
          <w:color w:val="auto"/>
        </w:rPr>
      </w:pPr>
      <w:r>
        <w:rPr>
          <w:rFonts w:ascii="Arial" w:cs="Arial" w:eastAsia="Arial" w:hAnsi="Arial"/>
          <w:sz w:val="22"/>
          <w:szCs w:val="22"/>
          <w:b w:val="1"/>
          <w:bCs w:val="1"/>
          <w:color w:val="auto"/>
        </w:rPr>
        <w:t xml:space="preserve">TRANSAMERICA PREMIER LIFE INSURANCE COMPANY </w:t>
      </w:r>
      <w:r>
        <w:rPr>
          <w:rFonts w:ascii="Arial" w:cs="Arial" w:eastAsia="Arial" w:hAnsi="Arial"/>
          <w:sz w:val="22"/>
          <w:szCs w:val="22"/>
          <w:color w:val="auto"/>
        </w:rPr>
        <w:t>c/o AEGON USA Investment Management, LLC</w:t>
      </w:r>
    </w:p>
    <w:p>
      <w:pPr>
        <w:ind w:left="32" w:right="2940"/>
        <w:spacing w:after="0" w:line="234" w:lineRule="auto"/>
        <w:rPr>
          <w:sz w:val="20"/>
          <w:szCs w:val="20"/>
          <w:color w:val="auto"/>
        </w:rPr>
      </w:pPr>
      <w:r>
        <w:rPr>
          <w:rFonts w:ascii="Arial" w:cs="Arial" w:eastAsia="Arial" w:hAnsi="Arial"/>
          <w:sz w:val="22"/>
          <w:szCs w:val="22"/>
          <w:color w:val="auto"/>
        </w:rPr>
        <w:t>Attn: Custody Operations-Privates MS 5335 4333 Edgewood Road NE Cedar Rapids, IA 52499-5335</w:t>
      </w:r>
    </w:p>
    <w:p>
      <w:pPr>
        <w:spacing w:after="0" w:line="268" w:lineRule="exact"/>
        <w:rPr>
          <w:sz w:val="20"/>
          <w:szCs w:val="20"/>
          <w:color w:val="auto"/>
        </w:rPr>
      </w:pPr>
    </w:p>
    <w:p>
      <w:pPr>
        <w:ind w:left="452" w:hanging="452"/>
        <w:spacing w:after="0"/>
        <w:tabs>
          <w:tab w:leader="none" w:pos="452"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Wire of payment due</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22"/>
          <w:szCs w:val="22"/>
          <w:color w:val="auto"/>
        </w:rPr>
        <w:t>Principal Amount and Series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of Notes to Be Purchased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20" w:type="dxa"/>
            <w:vAlign w:val="bottom"/>
          </w:tcPr>
          <w:p>
            <w:pPr>
              <w:spacing w:after="0"/>
              <w:rPr>
                <w:sz w:val="20"/>
                <w:szCs w:val="20"/>
                <w:color w:val="auto"/>
              </w:rPr>
            </w:pPr>
            <w:r>
              <w:rPr>
                <w:rFonts w:ascii="Arial" w:cs="Arial" w:eastAsia="Arial" w:hAnsi="Arial"/>
                <w:sz w:val="22"/>
                <w:szCs w:val="22"/>
                <w:color w:val="auto"/>
              </w:rPr>
              <w:t>Series B</w:t>
            </w:r>
          </w:p>
        </w:tc>
        <w:tc>
          <w:tcPr>
            <w:tcW w:w="2020" w:type="dxa"/>
            <w:vAlign w:val="bottom"/>
          </w:tcPr>
          <w:p>
            <w:pPr>
              <w:ind w:left="600"/>
              <w:spacing w:after="0"/>
              <w:rPr>
                <w:sz w:val="20"/>
                <w:szCs w:val="20"/>
                <w:color w:val="auto"/>
              </w:rPr>
            </w:pPr>
            <w:r>
              <w:rPr>
                <w:rFonts w:ascii="Arial" w:cs="Arial" w:eastAsia="Arial" w:hAnsi="Arial"/>
                <w:sz w:val="22"/>
                <w:szCs w:val="22"/>
                <w:color w:val="auto"/>
                <w:w w:val="88"/>
              </w:rPr>
              <w:t>U.S. $5,000,000</w:t>
            </w:r>
          </w:p>
        </w:tc>
      </w:tr>
    </w:tbl>
    <w:p>
      <w:pPr>
        <w:spacing w:after="0" w:line="1718" w:lineRule="exact"/>
        <w:rPr>
          <w:sz w:val="20"/>
          <w:szCs w:val="20"/>
          <w:color w:val="auto"/>
        </w:rPr>
      </w:pPr>
    </w:p>
    <w:p>
      <w:pPr>
        <w:sectPr>
          <w:pgSz w:w="11900" w:h="16838" w:orient="portrait"/>
          <w:cols w:equalWidth="0" w:num="2">
            <w:col w:w="6812" w:space="720"/>
            <w:col w:w="3880"/>
          </w:cols>
          <w:pgMar w:left="248" w:top="1334" w:right="239" w:bottom="1440" w:gutter="0" w:footer="0" w:header="0"/>
        </w:sectPr>
      </w:pPr>
    </w:p>
    <w:p>
      <w:pPr>
        <w:spacing w:after="0" w:line="81" w:lineRule="exact"/>
        <w:rPr>
          <w:sz w:val="20"/>
          <w:szCs w:val="20"/>
          <w:color w:val="auto"/>
        </w:rPr>
      </w:pPr>
    </w:p>
    <w:p>
      <w:pPr>
        <w:ind w:left="652"/>
        <w:spacing w:after="0" w:line="308" w:lineRule="auto"/>
        <w:rPr>
          <w:sz w:val="20"/>
          <w:szCs w:val="20"/>
          <w:color w:val="auto"/>
        </w:rPr>
      </w:pPr>
      <w:r>
        <w:rPr>
          <w:rFonts w:ascii="Arial" w:cs="Arial" w:eastAsia="Arial" w:hAnsi="Arial"/>
          <w:sz w:val="22"/>
          <w:szCs w:val="22"/>
          <w:color w:val="auto"/>
        </w:rPr>
        <w:t xml:space="preserve">All payments on account of the TRANSAMERICA PREMIER LIFE INSURANCE COMPANY </w:t>
      </w:r>
      <w:r>
        <w:rPr>
          <w:rFonts w:ascii="Arial" w:cs="Arial" w:eastAsia="Arial" w:hAnsi="Arial"/>
          <w:sz w:val="22"/>
          <w:szCs w:val="22"/>
          <w:b w:val="1"/>
          <w:bCs w:val="1"/>
          <w:u w:val="single" w:color="auto"/>
          <w:color w:val="auto"/>
        </w:rPr>
        <w:t>shall be made by wire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transfer to</w:t>
      </w:r>
      <w:r>
        <w:rPr>
          <w:rFonts w:ascii="Arial" w:cs="Arial" w:eastAsia="Arial" w:hAnsi="Arial"/>
          <w:sz w:val="22"/>
          <w:szCs w:val="22"/>
          <w:b w:val="1"/>
          <w:bCs w:val="1"/>
          <w:color w:val="auto"/>
        </w:rPr>
        <w:t>:</w:t>
      </w:r>
    </w:p>
    <w:p>
      <w:pPr>
        <w:spacing w:after="0" w:line="19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Bank of New York</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1 Wall Street</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New York, NY 10286 USA</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ABA #021000018</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GLA111-566</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FFC ACCT#: TPLIC LPG0 26 2519528400</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REFERENCE: CUSIP/PPN, PRINCIPAL &amp; INTEREST ALLOCATION</w:t>
      </w:r>
    </w:p>
    <w:p>
      <w:pPr>
        <w:spacing w:after="0" w:line="287" w:lineRule="exact"/>
        <w:rPr>
          <w:sz w:val="20"/>
          <w:szCs w:val="20"/>
          <w:color w:val="auto"/>
        </w:rPr>
      </w:pPr>
    </w:p>
    <w:p>
      <w:pPr>
        <w:ind w:left="432" w:hanging="432"/>
        <w:spacing w:after="0"/>
        <w:tabs>
          <w:tab w:leader="none" w:pos="432"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Payment notice</w:t>
      </w:r>
    </w:p>
    <w:p>
      <w:pPr>
        <w:spacing w:after="0" w:line="287"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 xml:space="preserve">All notices/confirmation of </w:t>
      </w:r>
      <w:r>
        <w:rPr>
          <w:rFonts w:ascii="Arial" w:cs="Arial" w:eastAsia="Arial" w:hAnsi="Arial"/>
          <w:sz w:val="22"/>
          <w:szCs w:val="22"/>
          <w:u w:val="single" w:color="auto"/>
          <w:color w:val="auto"/>
        </w:rPr>
        <w:t>PAYMENT</w:t>
      </w:r>
      <w:r>
        <w:rPr>
          <w:rFonts w:ascii="Arial" w:cs="Arial" w:eastAsia="Arial" w:hAnsi="Arial"/>
          <w:sz w:val="22"/>
          <w:szCs w:val="22"/>
          <w:color w:val="auto"/>
        </w:rPr>
        <w:t xml:space="preserve"> information should INCLUDE CUSIP/PPN in the Subject line and be sent to:</w:t>
      </w:r>
    </w:p>
    <w:p>
      <w:pPr>
        <w:spacing w:after="0" w:line="287"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Email: paymentnotifications@aegonusa.com</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AEGON USA Investment Management, LLC</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Attn: Custody Operations-Privates MS 5335</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4333 Edgewood Road NE</w:t>
      </w:r>
    </w:p>
    <w:p>
      <w:pPr>
        <w:spacing w:after="0" w:line="4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Cedar Rapids, IA 52499-5335</w:t>
      </w:r>
    </w:p>
    <w:p>
      <w:pPr>
        <w:sectPr>
          <w:pgSz w:w="11900" w:h="16838" w:orient="portrait"/>
          <w:cols w:equalWidth="0" w:num="1">
            <w:col w:w="11412"/>
          </w:cols>
          <w:pgMar w:left="248" w:top="1334" w:right="239" w:bottom="1440" w:gutter="0" w:footer="0" w:header="0"/>
          <w:type w:val="continuous"/>
        </w:sectPr>
      </w:pPr>
    </w:p>
    <w:bookmarkStart w:id="162" w:name="page163"/>
    <w:bookmarkEnd w:id="162"/>
    <w:p>
      <w:pPr>
        <w:ind w:left="2200"/>
        <w:spacing w:after="0"/>
        <w:rPr>
          <w:sz w:val="20"/>
          <w:szCs w:val="20"/>
          <w:color w:val="auto"/>
        </w:rPr>
      </w:pPr>
      <w:r>
        <w:rPr>
          <w:rFonts w:ascii="Arial" w:cs="Arial" w:eastAsia="Arial" w:hAnsi="Arial"/>
          <w:sz w:val="22"/>
          <w:szCs w:val="22"/>
          <w:b w:val="1"/>
          <w:bCs w:val="1"/>
          <w:color w:val="auto"/>
        </w:rPr>
        <w:t>FINANCIALS, LEGAL, PRE-PAYMENT AND OTHER NOTIFICATIONS</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 w:type="dxa"/>
            <w:vAlign w:val="bottom"/>
          </w:tcPr>
          <w:p>
            <w:pPr>
              <w:spacing w:after="0"/>
              <w:rPr>
                <w:sz w:val="21"/>
                <w:szCs w:val="21"/>
                <w:color w:val="auto"/>
              </w:rPr>
            </w:pPr>
          </w:p>
        </w:tc>
        <w:tc>
          <w:tcPr>
            <w:tcW w:w="5680" w:type="dxa"/>
            <w:vAlign w:val="bottom"/>
            <w:gridSpan w:val="4"/>
          </w:tcPr>
          <w:p>
            <w:pPr>
              <w:ind w:left="11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 Routine correspondence and reporting:</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spacing w:after="0"/>
              <w:rPr>
                <w:sz w:val="21"/>
                <w:szCs w:val="21"/>
                <w:color w:val="auto"/>
              </w:rPr>
            </w:pPr>
          </w:p>
        </w:tc>
      </w:tr>
      <w:tr>
        <w:trPr>
          <w:trHeight w:val="20"/>
        </w:trPr>
        <w:tc>
          <w:tcPr>
            <w:tcW w:w="180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6"/>
        </w:trPr>
        <w:tc>
          <w:tcPr>
            <w:tcW w:w="584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c>
          <w:tcPr>
            <w:tcW w:w="4920" w:type="dxa"/>
            <w:vAlign w:val="bottom"/>
            <w:gridSpan w:val="2"/>
          </w:tcPr>
          <w:p>
            <w:pPr>
              <w:ind w:left="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Attn: Director of Private Placements MS 5335</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Attn: Director of Private Placements, MS 3341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4333 Edgewood Road N.E.</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100 Light Street, B1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Cedar Rapids, IA 52499-5335</w:t>
            </w:r>
          </w:p>
        </w:tc>
        <w:tc>
          <w:tcPr>
            <w:tcW w:w="1100" w:type="dxa"/>
            <w:vAlign w:val="bottom"/>
          </w:tcPr>
          <w:p>
            <w:pPr>
              <w:ind w:left="940"/>
              <w:spacing w:after="0" w:line="243" w:lineRule="exact"/>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Baltimore, MD 21202-2559</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(319) 355-2432 | F (319) 355-2666</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(443) 475-3130 F (443) 475-3095</w:t>
            </w:r>
          </w:p>
        </w:tc>
      </w:tr>
      <w:tr>
        <w:trPr>
          <w:trHeight w:val="275"/>
        </w:trPr>
        <w:tc>
          <w:tcPr>
            <w:tcW w:w="160" w:type="dxa"/>
            <w:vAlign w:val="bottom"/>
          </w:tcPr>
          <w:p>
            <w:pPr>
              <w:spacing w:after="0"/>
              <w:rPr>
                <w:sz w:val="20"/>
                <w:szCs w:val="20"/>
                <w:color w:val="auto"/>
              </w:rPr>
            </w:pPr>
            <w:r>
              <w:rPr>
                <w:rFonts w:ascii="Arial" w:cs="Arial" w:eastAsia="Arial" w:hAnsi="Arial"/>
                <w:sz w:val="22"/>
                <w:szCs w:val="22"/>
                <w:color w:val="auto"/>
              </w:rPr>
              <w:t>•</w:t>
            </w:r>
          </w:p>
        </w:tc>
        <w:tc>
          <w:tcPr>
            <w:tcW w:w="5680" w:type="dxa"/>
            <w:vAlign w:val="bottom"/>
            <w:gridSpan w:val="4"/>
          </w:tcPr>
          <w:p>
            <w:pPr>
              <w:ind w:left="100"/>
              <w:spacing w:after="0"/>
              <w:rPr>
                <w:sz w:val="20"/>
                <w:szCs w:val="20"/>
                <w:color w:val="auto"/>
              </w:rPr>
            </w:pPr>
            <w:r>
              <w:rPr>
                <w:rFonts w:ascii="Arial" w:cs="Arial" w:eastAsia="Arial" w:hAnsi="Arial"/>
                <w:sz w:val="20"/>
                <w:szCs w:val="20"/>
                <w:color w:val="auto"/>
              </w:rPr>
              <w:t>privateplacements@aegonusa.com</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privateplacements@aegonusa.com</w:t>
            </w:r>
          </w:p>
        </w:tc>
      </w:tr>
      <w:tr>
        <w:trPr>
          <w:trHeight w:val="247"/>
        </w:trPr>
        <w:tc>
          <w:tcPr>
            <w:tcW w:w="160" w:type="dxa"/>
            <w:vAlign w:val="bottom"/>
          </w:tcPr>
          <w:p>
            <w:pPr>
              <w:spacing w:after="0"/>
              <w:rPr>
                <w:sz w:val="21"/>
                <w:szCs w:val="21"/>
                <w:color w:val="auto"/>
              </w:rPr>
            </w:pPr>
          </w:p>
        </w:tc>
        <w:tc>
          <w:tcPr>
            <w:tcW w:w="5680" w:type="dxa"/>
            <w:vAlign w:val="bottom"/>
            <w:gridSpan w:val="4"/>
          </w:tcPr>
          <w:p>
            <w:pPr>
              <w:ind w:left="1140"/>
              <w:spacing w:after="0" w:line="246"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B) Legal/Closing Documents:</w:t>
            </w:r>
          </w:p>
        </w:tc>
        <w:tc>
          <w:tcPr>
            <w:tcW w:w="1100" w:type="dxa"/>
            <w:vAlign w:val="bottom"/>
          </w:tcPr>
          <w:p>
            <w:pPr>
              <w:ind w:left="940"/>
              <w:spacing w:after="0" w:line="246" w:lineRule="exact"/>
              <w:rPr>
                <w:sz w:val="20"/>
                <w:szCs w:val="20"/>
                <w:color w:val="auto"/>
              </w:rPr>
            </w:pPr>
            <w:r>
              <w:rPr>
                <w:rFonts w:ascii="Arial" w:cs="Arial" w:eastAsia="Arial" w:hAnsi="Arial"/>
                <w:sz w:val="22"/>
                <w:szCs w:val="22"/>
                <w:color w:val="auto"/>
              </w:rPr>
              <w:t>•</w:t>
            </w:r>
          </w:p>
        </w:tc>
        <w:tc>
          <w:tcPr>
            <w:tcW w:w="3820" w:type="dxa"/>
            <w:vAlign w:val="bottom"/>
          </w:tcPr>
          <w:p>
            <w:pPr>
              <w:spacing w:after="0"/>
              <w:rPr>
                <w:sz w:val="21"/>
                <w:szCs w:val="21"/>
                <w:color w:val="auto"/>
              </w:rPr>
            </w:pPr>
          </w:p>
        </w:tc>
      </w:tr>
      <w:tr>
        <w:trPr>
          <w:trHeight w:val="20"/>
        </w:trPr>
        <w:tc>
          <w:tcPr>
            <w:tcW w:w="180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96"/>
        </w:trPr>
        <w:tc>
          <w:tcPr>
            <w:tcW w:w="584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c>
          <w:tcPr>
            <w:tcW w:w="4920" w:type="dxa"/>
            <w:vAlign w:val="bottom"/>
            <w:gridSpan w:val="2"/>
          </w:tcPr>
          <w:p>
            <w:pPr>
              <w:ind w:left="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AEGON USA Investment Management, LLC</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Attn: Director of Private Placements MS 5335</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Attn: Director of Private Placements, MS 3341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4333 Edgewood Road N.E.</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100 Light Street, B1</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Cedar Rapids, IA 52499-5335</w:t>
            </w:r>
          </w:p>
        </w:tc>
        <w:tc>
          <w:tcPr>
            <w:tcW w:w="1100" w:type="dxa"/>
            <w:vAlign w:val="bottom"/>
          </w:tcPr>
          <w:p>
            <w:pPr>
              <w:ind w:left="940"/>
              <w:spacing w:after="0" w:line="243" w:lineRule="exact"/>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Baltimore, MD 21202-2559</w:t>
            </w:r>
          </w:p>
        </w:tc>
      </w:tr>
      <w:tr>
        <w:trPr>
          <w:trHeight w:val="243"/>
        </w:trPr>
        <w:tc>
          <w:tcPr>
            <w:tcW w:w="5840" w:type="dxa"/>
            <w:vAlign w:val="bottom"/>
            <w:gridSpan w:val="5"/>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(319) 355-2432 | F (319) 355-2666</w:t>
            </w:r>
          </w:p>
        </w:tc>
        <w:tc>
          <w:tcPr>
            <w:tcW w:w="4920" w:type="dxa"/>
            <w:vAlign w:val="bottom"/>
            <w:gridSpan w:val="2"/>
          </w:tcPr>
          <w:p>
            <w:pPr>
              <w:ind w:left="9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 (443) 475-3130 F (443) 475-3095</w:t>
            </w:r>
          </w:p>
        </w:tc>
      </w:tr>
      <w:tr>
        <w:trPr>
          <w:trHeight w:val="275"/>
        </w:trPr>
        <w:tc>
          <w:tcPr>
            <w:tcW w:w="160" w:type="dxa"/>
            <w:vAlign w:val="bottom"/>
          </w:tcPr>
          <w:p>
            <w:pPr>
              <w:spacing w:after="0"/>
              <w:rPr>
                <w:sz w:val="20"/>
                <w:szCs w:val="20"/>
                <w:color w:val="auto"/>
              </w:rPr>
            </w:pPr>
            <w:r>
              <w:rPr>
                <w:rFonts w:ascii="Arial" w:cs="Arial" w:eastAsia="Arial" w:hAnsi="Arial"/>
                <w:sz w:val="22"/>
                <w:szCs w:val="22"/>
                <w:color w:val="auto"/>
              </w:rPr>
              <w:t>•</w:t>
            </w:r>
          </w:p>
        </w:tc>
        <w:tc>
          <w:tcPr>
            <w:tcW w:w="5680" w:type="dxa"/>
            <w:vAlign w:val="bottom"/>
            <w:gridSpan w:val="4"/>
          </w:tcPr>
          <w:p>
            <w:pPr>
              <w:ind w:left="100"/>
              <w:spacing w:after="0"/>
              <w:rPr>
                <w:sz w:val="20"/>
                <w:szCs w:val="20"/>
                <w:color w:val="auto"/>
              </w:rPr>
            </w:pPr>
            <w:r>
              <w:rPr>
                <w:rFonts w:ascii="Arial" w:cs="Arial" w:eastAsia="Arial" w:hAnsi="Arial"/>
                <w:sz w:val="20"/>
                <w:szCs w:val="20"/>
                <w:color w:val="auto"/>
              </w:rPr>
              <w:t>privateplacements@aegonusa.com</w:t>
            </w:r>
          </w:p>
        </w:tc>
        <w:tc>
          <w:tcPr>
            <w:tcW w:w="1100" w:type="dxa"/>
            <w:vAlign w:val="bottom"/>
          </w:tcPr>
          <w:p>
            <w:pPr>
              <w:ind w:left="940"/>
              <w:spacing w:after="0"/>
              <w:rPr>
                <w:sz w:val="20"/>
                <w:szCs w:val="20"/>
                <w:color w:val="auto"/>
              </w:rPr>
            </w:pPr>
            <w:r>
              <w:rPr>
                <w:rFonts w:ascii="Arial" w:cs="Arial" w:eastAsia="Arial" w:hAnsi="Arial"/>
                <w:sz w:val="22"/>
                <w:szCs w:val="22"/>
                <w:color w:val="auto"/>
              </w:rPr>
              <w:t>•</w:t>
            </w:r>
          </w:p>
        </w:tc>
        <w:tc>
          <w:tcPr>
            <w:tcW w:w="3820" w:type="dxa"/>
            <w:vAlign w:val="bottom"/>
          </w:tcPr>
          <w:p>
            <w:pPr>
              <w:ind w:left="100"/>
              <w:spacing w:after="0"/>
              <w:rPr>
                <w:sz w:val="20"/>
                <w:szCs w:val="20"/>
                <w:color w:val="auto"/>
              </w:rPr>
            </w:pPr>
            <w:r>
              <w:rPr>
                <w:rFonts w:ascii="Arial" w:cs="Arial" w:eastAsia="Arial" w:hAnsi="Arial"/>
                <w:sz w:val="20"/>
                <w:szCs w:val="20"/>
                <w:color w:val="auto"/>
              </w:rPr>
              <w:t>privateplacements@aegonusa.com</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TAX ID #52-0419790</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i w:val="1"/>
          <w:iCs w:val="1"/>
          <w:color w:val="auto"/>
        </w:rPr>
        <w:t>ORIGINAL NOTE</w:t>
      </w:r>
    </w:p>
    <w:p>
      <w:pPr>
        <w:spacing w:after="0" w:line="242"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 signed copy of the Note </w:t>
      </w:r>
      <w:r>
        <w:rPr>
          <w:rFonts w:ascii="Arial" w:cs="Arial" w:eastAsia="Arial" w:hAnsi="Arial"/>
          <w:sz w:val="19"/>
          <w:szCs w:val="19"/>
          <w:b w:val="1"/>
          <w:bCs w:val="1"/>
          <w:i w:val="1"/>
          <w:iCs w:val="1"/>
          <w:u w:val="single" w:color="auto"/>
          <w:color w:val="auto"/>
        </w:rPr>
        <w:t>MUST</w:t>
      </w:r>
      <w:r>
        <w:rPr>
          <w:rFonts w:ascii="Arial" w:cs="Arial" w:eastAsia="Arial" w:hAnsi="Arial"/>
          <w:sz w:val="19"/>
          <w:szCs w:val="19"/>
          <w:i w:val="1"/>
          <w:iCs w:val="1"/>
          <w:color w:val="auto"/>
        </w:rPr>
        <w:t xml:space="preserve"> be sent to Custody Operations-Privates for verification via fax 888-652-8024 or email</w:t>
      </w:r>
    </w:p>
    <w:p>
      <w:pPr>
        <w:spacing w:after="0" w:line="78" w:lineRule="exact"/>
        <w:rPr>
          <w:rFonts w:ascii="Arial" w:cs="Arial" w:eastAsia="Arial" w:hAnsi="Arial"/>
          <w:sz w:val="19"/>
          <w:szCs w:val="19"/>
          <w:i w:val="1"/>
          <w:iCs w:val="1"/>
          <w:color w:val="auto"/>
        </w:rPr>
      </w:pPr>
    </w:p>
    <w:p>
      <w:pPr>
        <w:ind w:left="660"/>
        <w:spacing w:after="0"/>
        <w:rPr>
          <w:rFonts w:ascii="Arial" w:cs="Arial" w:eastAsia="Arial" w:hAnsi="Arial"/>
          <w:sz w:val="19"/>
          <w:szCs w:val="19"/>
          <w:i w:val="1"/>
          <w:iCs w:val="1"/>
          <w:color w:val="auto"/>
        </w:rPr>
      </w:pPr>
      <w:r>
        <w:rPr>
          <w:rFonts w:ascii="Arial" w:cs="Arial" w:eastAsia="Arial" w:hAnsi="Arial"/>
          <w:sz w:val="22"/>
          <w:szCs w:val="22"/>
          <w:b w:val="1"/>
          <w:bCs w:val="1"/>
          <w:i w:val="1"/>
          <w:iCs w:val="1"/>
          <w:u w:val="single" w:color="auto"/>
          <w:color w:val="auto"/>
        </w:rPr>
        <w:t>INVCustodyTeam@AEGONUSA.com</w:t>
      </w:r>
    </w:p>
    <w:p>
      <w:pPr>
        <w:spacing w:after="0" w:line="287" w:lineRule="exact"/>
        <w:rPr>
          <w:rFonts w:ascii="Arial" w:cs="Arial" w:eastAsia="Arial" w:hAnsi="Arial"/>
          <w:sz w:val="19"/>
          <w:szCs w:val="19"/>
          <w:i w:val="1"/>
          <w:iCs w:val="1"/>
          <w:color w:val="auto"/>
        </w:rPr>
      </w:pPr>
    </w:p>
    <w:p>
      <w:pPr>
        <w:ind w:left="660" w:right="180" w:hanging="652"/>
        <w:spacing w:after="0" w:line="302" w:lineRule="auto"/>
        <w:tabs>
          <w:tab w:leader="none" w:pos="660" w:val="left"/>
        </w:tabs>
        <w:numPr>
          <w:ilvl w:val="0"/>
          <w:numId w:val="126"/>
        </w:numPr>
        <w:rPr>
          <w:rFonts w:ascii="Arial" w:cs="Arial" w:eastAsia="Arial" w:hAnsi="Arial"/>
          <w:sz w:val="22"/>
          <w:szCs w:val="22"/>
          <w:i w:val="1"/>
          <w:iCs w:val="1"/>
          <w:color w:val="auto"/>
        </w:rPr>
      </w:pPr>
      <w:r>
        <w:rPr>
          <w:rFonts w:ascii="Arial" w:cs="Arial" w:eastAsia="Arial" w:hAnsi="Arial"/>
          <w:sz w:val="22"/>
          <w:szCs w:val="22"/>
          <w:i w:val="1"/>
          <w:iCs w:val="1"/>
          <w:color w:val="auto"/>
        </w:rPr>
        <w:t>Once the note has been verified, the Custody Bank Instructions will then be relayed to you via fax or email, which will contain the Custody Vault address where the original certificate needs to be sent.</w:t>
      </w:r>
    </w:p>
    <w:p>
      <w:pPr>
        <w:sectPr>
          <w:pgSz w:w="11900" w:h="16838" w:orient="portrait"/>
          <w:cols w:equalWidth="0" w:num="1">
            <w:col w:w="11040"/>
          </w:cols>
          <w:pgMar w:left="240" w:top="1179" w:right="619" w:bottom="1440" w:gutter="0" w:footer="0" w:header="0"/>
        </w:sectPr>
      </w:pPr>
    </w:p>
    <w:bookmarkStart w:id="163" w:name="page164"/>
    <w:bookmarkEnd w:id="163"/>
    <w:p>
      <w:pPr>
        <w:spacing w:after="0" w:line="24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Name and Address of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Principal Amount and Series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of Notes to Be Purchased</w:t>
      </w:r>
    </w:p>
    <w:p>
      <w:pPr>
        <w:spacing w:after="0" w:line="200" w:lineRule="exact"/>
        <w:rPr>
          <w:sz w:val="20"/>
          <w:szCs w:val="20"/>
          <w:color w:val="auto"/>
        </w:rPr>
      </w:pPr>
    </w:p>
    <w:p>
      <w:pPr>
        <w:sectPr>
          <w:pgSz w:w="11900" w:h="16838" w:orient="portrait"/>
          <w:cols w:equalWidth="0" w:num="2">
            <w:col w:w="7160" w:space="720"/>
            <w:col w:w="3000"/>
          </w:cols>
          <w:pgMar w:left="240" w:top="1293" w:right="779" w:bottom="1440" w:gutter="0" w:footer="0" w:header="0"/>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AMERICAN FAMILY LIFE INSURANCE COMPANY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Series 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U.S. $1,500,000</w:t>
      </w:r>
    </w:p>
    <w:p>
      <w:pPr>
        <w:spacing w:after="0" w:line="59" w:lineRule="exact"/>
        <w:rPr>
          <w:sz w:val="20"/>
          <w:szCs w:val="20"/>
          <w:color w:val="auto"/>
        </w:rPr>
      </w:pPr>
    </w:p>
    <w:p>
      <w:pPr>
        <w:sectPr>
          <w:pgSz w:w="11900" w:h="16838" w:orient="portrait"/>
          <w:cols w:equalWidth="0" w:num="3">
            <w:col w:w="6820" w:space="720"/>
            <w:col w:w="1200" w:space="720"/>
            <w:col w:w="1420"/>
          </w:cols>
          <w:pgMar w:left="240" w:top="1293" w:right="779" w:bottom="1440" w:gutter="0" w:footer="0" w:header="0"/>
          <w:type w:val="continuous"/>
        </w:sectPr>
      </w:pPr>
    </w:p>
    <w:p>
      <w:pPr>
        <w:ind w:left="40"/>
        <w:spacing w:after="0"/>
        <w:rPr>
          <w:sz w:val="20"/>
          <w:szCs w:val="20"/>
          <w:color w:val="auto"/>
        </w:rPr>
      </w:pPr>
      <w:r>
        <w:rPr>
          <w:rFonts w:ascii="Arial" w:cs="Arial" w:eastAsia="Arial" w:hAnsi="Arial"/>
          <w:sz w:val="22"/>
          <w:szCs w:val="22"/>
          <w:color w:val="auto"/>
        </w:rPr>
        <w:t>6000 American Parkway</w:t>
      </w:r>
    </w:p>
    <w:p>
      <w:pPr>
        <w:ind w:left="40"/>
        <w:spacing w:after="0" w:line="230" w:lineRule="auto"/>
        <w:rPr>
          <w:sz w:val="20"/>
          <w:szCs w:val="20"/>
          <w:color w:val="auto"/>
        </w:rPr>
      </w:pPr>
      <w:r>
        <w:rPr>
          <w:rFonts w:ascii="Arial" w:cs="Arial" w:eastAsia="Arial" w:hAnsi="Arial"/>
          <w:sz w:val="22"/>
          <w:szCs w:val="22"/>
          <w:color w:val="auto"/>
        </w:rPr>
        <w:t>Madison, Wisconsin 53783-0001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Attention: Investment Division-Private Placements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All payments on or in respect of the Notes to be by Federal Funds Wire Transfer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Bank, N.A.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Trust Services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 Livingston Ave., St. Paul, MN 55107-2292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#091000022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Beneficial Account #180183083765</w:t>
      </w:r>
    </w:p>
    <w:p>
      <w:pPr>
        <w:spacing w:after="0" w:line="44" w:lineRule="exact"/>
        <w:rPr>
          <w:sz w:val="20"/>
          <w:szCs w:val="20"/>
          <w:color w:val="auto"/>
        </w:rPr>
      </w:pPr>
    </w:p>
    <w:p>
      <w:pPr>
        <w:ind w:left="660" w:right="1840"/>
        <w:spacing w:after="0" w:line="302" w:lineRule="auto"/>
        <w:rPr>
          <w:sz w:val="20"/>
          <w:szCs w:val="20"/>
          <w:color w:val="auto"/>
        </w:rPr>
      </w:pPr>
      <w:r>
        <w:rPr>
          <w:rFonts w:ascii="Arial" w:cs="Arial" w:eastAsia="Arial" w:hAnsi="Arial"/>
          <w:sz w:val="22"/>
          <w:szCs w:val="22"/>
          <w:color w:val="auto"/>
        </w:rPr>
        <w:t>FFC to American Family Trust Account #191050973661 for AFLIC-Traditional Cash &amp; Privates Credit for PPN: 02401@ AA7</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Accompanying Information</w:t>
      </w:r>
      <w:r>
        <w:rPr>
          <w:rFonts w:ascii="Arial" w:cs="Arial" w:eastAsia="Arial" w:hAnsi="Arial"/>
          <w:sz w:val="22"/>
          <w:szCs w:val="22"/>
          <w:color w:val="auto"/>
        </w:rPr>
        <w:t>:</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of Issuer: AMERICAN ASSETS TRUST, L.P.</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Description of Security: 4.04% Guaranteed Senior Notes, Series A, due October 31, 2021</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PPN: 02401@ AA7</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Due date and application (as among principal, premium and interest) of the payment being made</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Notices Related to Payments: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Family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6000 American Parkway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Madison, Wisconsin 53783-0001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Investment Division-Private Placements</w:t>
      </w:r>
    </w:p>
    <w:p>
      <w:pPr>
        <w:sectPr>
          <w:pgSz w:w="11900" w:h="16838" w:orient="portrait"/>
          <w:cols w:equalWidth="0" w:num="1">
            <w:col w:w="10880"/>
          </w:cols>
          <w:pgMar w:left="240" w:top="1293" w:right="779" w:bottom="1440" w:gutter="0" w:footer="0" w:header="0"/>
          <w:type w:val="continuous"/>
        </w:sectPr>
      </w:pPr>
    </w:p>
    <w:bookmarkStart w:id="164" w:name="page165"/>
    <w:bookmarkEnd w:id="164"/>
    <w:p>
      <w:pPr>
        <w:spacing w:after="0"/>
        <w:rPr>
          <w:sz w:val="20"/>
          <w:szCs w:val="20"/>
          <w:color w:val="auto"/>
        </w:rPr>
      </w:pPr>
      <w:r>
        <w:rPr>
          <w:rFonts w:ascii="Arial" w:cs="Arial" w:eastAsia="Arial" w:hAnsi="Arial"/>
          <w:sz w:val="22"/>
          <w:szCs w:val="22"/>
          <w:color w:val="auto"/>
        </w:rPr>
        <w:t>All Other Notices: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Family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6000 American Parkway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Madison, Wisconsin 53783-0001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Investment Division-Private Placements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Notices Regarding Audit Confirmations: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Family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6000 American Parkway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Madison, Wisconsin 53783-0001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Private Placements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Name of Nominee in which Notes are to be issued: BAND &amp; CO.</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Taxpayer I.D. Number: 39-6040365</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Physical Delivery:</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US Bank Milwaukee, N.A.</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Attn: Julie Wiza (MK-WI-T15C)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Trust Officer, Account Manager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777 E. Wisconsin Ave.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Milwaukee, WI 53202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American Family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6000 American Parkway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Madison, Wisconsin 53783-0001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Attention: Investment Division-Private Placements</w:t>
      </w:r>
    </w:p>
    <w:p>
      <w:pPr>
        <w:sectPr>
          <w:pgSz w:w="11900" w:h="16838" w:orient="portrait"/>
          <w:cols w:equalWidth="0" w:num="1">
            <w:col w:w="10219"/>
          </w:cols>
          <w:pgMar w:left="240" w:top="915" w:right="1440" w:bottom="1440" w:gutter="0" w:footer="0" w:header="0"/>
        </w:sectPr>
      </w:pPr>
    </w:p>
    <w:bookmarkStart w:id="165" w:name="page166"/>
    <w:bookmarkEnd w:id="165"/>
    <w:p>
      <w:pPr>
        <w:spacing w:after="0" w:line="24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Name and Address of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Principal Amount and Series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of Notes to Be Purchased</w:t>
      </w:r>
    </w:p>
    <w:p>
      <w:pPr>
        <w:spacing w:after="0" w:line="200" w:lineRule="exact"/>
        <w:rPr>
          <w:sz w:val="20"/>
          <w:szCs w:val="20"/>
          <w:color w:val="auto"/>
        </w:rPr>
      </w:pPr>
    </w:p>
    <w:p>
      <w:pPr>
        <w:sectPr>
          <w:pgSz w:w="11900" w:h="16838" w:orient="portrait"/>
          <w:cols w:equalWidth="0" w:num="2">
            <w:col w:w="7160" w:space="720"/>
            <w:col w:w="2920"/>
          </w:cols>
          <w:pgMar w:left="240" w:top="1037" w:right="859" w:bottom="1440" w:gutter="0" w:footer="0" w:header="0"/>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AMERICAN FAMILY LIFE INSURANCE COMPANY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Series 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U.S. $400,000</w:t>
      </w:r>
    </w:p>
    <w:p>
      <w:pPr>
        <w:spacing w:after="0" w:line="59" w:lineRule="exact"/>
        <w:rPr>
          <w:sz w:val="20"/>
          <w:szCs w:val="20"/>
          <w:color w:val="auto"/>
        </w:rPr>
      </w:pPr>
    </w:p>
    <w:p>
      <w:pPr>
        <w:sectPr>
          <w:pgSz w:w="11900" w:h="16838" w:orient="portrait"/>
          <w:cols w:equalWidth="0" w:num="3">
            <w:col w:w="6820" w:space="720"/>
            <w:col w:w="1280" w:space="720"/>
            <w:col w:w="1260"/>
          </w:cols>
          <w:pgMar w:left="240" w:top="1037" w:right="859" w:bottom="1440" w:gutter="0" w:footer="0" w:header="0"/>
          <w:type w:val="continuous"/>
        </w:sectPr>
      </w:pPr>
    </w:p>
    <w:p>
      <w:pPr>
        <w:ind w:left="40"/>
        <w:spacing w:after="0"/>
        <w:rPr>
          <w:sz w:val="20"/>
          <w:szCs w:val="20"/>
          <w:color w:val="auto"/>
        </w:rPr>
      </w:pPr>
      <w:r>
        <w:rPr>
          <w:rFonts w:ascii="Arial" w:cs="Arial" w:eastAsia="Arial" w:hAnsi="Arial"/>
          <w:sz w:val="22"/>
          <w:szCs w:val="22"/>
          <w:color w:val="auto"/>
        </w:rPr>
        <w:t>6000 American Parkway</w:t>
      </w:r>
    </w:p>
    <w:p>
      <w:pPr>
        <w:ind w:left="40"/>
        <w:spacing w:after="0" w:line="230" w:lineRule="auto"/>
        <w:rPr>
          <w:sz w:val="20"/>
          <w:szCs w:val="20"/>
          <w:color w:val="auto"/>
        </w:rPr>
      </w:pPr>
      <w:r>
        <w:rPr>
          <w:rFonts w:ascii="Arial" w:cs="Arial" w:eastAsia="Arial" w:hAnsi="Arial"/>
          <w:sz w:val="22"/>
          <w:szCs w:val="22"/>
          <w:color w:val="auto"/>
        </w:rPr>
        <w:t>Madison, Wisconsin 53783-0001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Attention: Investment Division-Private Placements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All payments on or in respect of the Notes to be by Federal Funds Wire Transfer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Bank, N.A.</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Trust Services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 Livingston Ave., St. Paul, MN 55107-2292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#091000022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Beneficial Account #180183083765</w:t>
      </w:r>
    </w:p>
    <w:p>
      <w:pPr>
        <w:spacing w:after="0" w:line="4" w:lineRule="exact"/>
        <w:rPr>
          <w:sz w:val="20"/>
          <w:szCs w:val="20"/>
          <w:color w:val="auto"/>
        </w:rPr>
      </w:pPr>
    </w:p>
    <w:p>
      <w:pPr>
        <w:ind w:left="660" w:right="2280"/>
        <w:spacing w:after="0" w:line="246" w:lineRule="auto"/>
        <w:rPr>
          <w:sz w:val="20"/>
          <w:szCs w:val="20"/>
          <w:color w:val="auto"/>
        </w:rPr>
      </w:pPr>
      <w:r>
        <w:rPr>
          <w:rFonts w:ascii="Arial" w:cs="Arial" w:eastAsia="Arial" w:hAnsi="Arial"/>
          <w:sz w:val="22"/>
          <w:szCs w:val="22"/>
          <w:color w:val="auto"/>
        </w:rPr>
        <w:t>FFC to American Family Trust Account #191050973667 for AFLIC-UL Cash and Privates Credit for PPN: 02401@ AA7</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Accompanying Information</w:t>
      </w:r>
      <w:r>
        <w:rPr>
          <w:rFonts w:ascii="Arial" w:cs="Arial" w:eastAsia="Arial" w:hAnsi="Arial"/>
          <w:sz w:val="22"/>
          <w:szCs w:val="22"/>
          <w:color w:val="auto"/>
        </w:rPr>
        <w:t>:</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of Issuer: AMERICAN ASSETS TRUST, L.P.</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Description of Security: 4.04% Guaranteed Senior Notes, Series A, due October 31, 2021</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PPN: 02401@ AA7</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Due date and application (as among principal, premium and interest) of the payment being made</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Notices Related to Payments: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Family Life Insurance Company</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6000 American Parkway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Madison, Wisconsin 53783-0001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Investment Division-Private Placements</w:t>
      </w:r>
    </w:p>
    <w:p>
      <w:pPr>
        <w:sectPr>
          <w:pgSz w:w="11900" w:h="16838" w:orient="portrait"/>
          <w:cols w:equalWidth="0" w:num="1">
            <w:col w:w="10800"/>
          </w:cols>
          <w:pgMar w:left="240" w:top="1037" w:right="85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22"/>
          <w:szCs w:val="22"/>
          <w:color w:val="auto"/>
        </w:rPr>
        <w:t>All Other Notices: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Family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6000 American Parkway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Madison, Wisconsin 53783-0001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Investment Division-Private Placements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Notices Regarding Audit Confirmations: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Family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6000 American Parkway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Madison, Wisconsin 53783-0001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Private Placements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Name of Nominee in which Notes are to be issued: BAND &amp; CO.</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Taxpayer I.D. Number: 39-6040365</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Physical Delivery:</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US Bank Milwaukee, N.A.</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Attn: Julie Wiza (MK-WI-T15C)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Trust Officer, Account Manager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777 E. Wisconsin Ave.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Milwaukee, WI 53202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American Family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6000 American Parkway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Madison, Wisconsin 53783-0001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Attention: Investment Division-Private Placements</w:t>
      </w:r>
    </w:p>
    <w:p>
      <w:pPr>
        <w:sectPr>
          <w:pgSz w:w="11900" w:h="16838" w:orient="portrait"/>
          <w:cols w:equalWidth="0" w:num="1">
            <w:col w:w="10219"/>
          </w:cols>
          <w:pgMar w:left="240" w:top="928" w:right="1440" w:bottom="1440" w:gutter="0" w:footer="0" w:header="0"/>
        </w:sectPr>
      </w:pPr>
    </w:p>
    <w:bookmarkStart w:id="167" w:name="page168"/>
    <w:bookmarkEnd w:id="167"/>
    <w:p>
      <w:pPr>
        <w:spacing w:after="0" w:line="24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Name and Address of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Principal Amount and Series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of Notes to Be Purchased</w:t>
      </w:r>
    </w:p>
    <w:p>
      <w:pPr>
        <w:spacing w:after="0" w:line="200" w:lineRule="exact"/>
        <w:rPr>
          <w:sz w:val="20"/>
          <w:szCs w:val="20"/>
          <w:color w:val="auto"/>
        </w:rPr>
      </w:pPr>
    </w:p>
    <w:p>
      <w:pPr>
        <w:sectPr>
          <w:pgSz w:w="11900" w:h="16838" w:orient="portrait"/>
          <w:cols w:equalWidth="0" w:num="2">
            <w:col w:w="7160" w:space="720"/>
            <w:col w:w="2860"/>
          </w:cols>
          <w:pgMar w:left="240" w:top="1037" w:right="919" w:bottom="1440" w:gutter="0" w:footer="0" w:header="0"/>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AMERICAN FAMILY LIFE INSURANCE COMPANY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Series 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U.S. $100,000</w:t>
      </w:r>
    </w:p>
    <w:p>
      <w:pPr>
        <w:spacing w:after="0" w:line="59" w:lineRule="exact"/>
        <w:rPr>
          <w:sz w:val="20"/>
          <w:szCs w:val="20"/>
          <w:color w:val="auto"/>
        </w:rPr>
      </w:pPr>
    </w:p>
    <w:p>
      <w:pPr>
        <w:sectPr>
          <w:pgSz w:w="11900" w:h="16838" w:orient="portrait"/>
          <w:cols w:equalWidth="0" w:num="3">
            <w:col w:w="6740" w:space="720"/>
            <w:col w:w="1300" w:space="720"/>
            <w:col w:w="1260"/>
          </w:cols>
          <w:pgMar w:left="240" w:top="1037" w:right="919" w:bottom="1440" w:gutter="0" w:footer="0" w:header="0"/>
          <w:type w:val="continuous"/>
        </w:sectPr>
      </w:pPr>
    </w:p>
    <w:p>
      <w:pPr>
        <w:ind w:left="40"/>
        <w:spacing w:after="0"/>
        <w:rPr>
          <w:sz w:val="20"/>
          <w:szCs w:val="20"/>
          <w:color w:val="auto"/>
        </w:rPr>
      </w:pPr>
      <w:r>
        <w:rPr>
          <w:rFonts w:ascii="Arial" w:cs="Arial" w:eastAsia="Arial" w:hAnsi="Arial"/>
          <w:sz w:val="22"/>
          <w:szCs w:val="22"/>
          <w:color w:val="auto"/>
        </w:rPr>
        <w:t>6000 American Parkway</w:t>
      </w:r>
    </w:p>
    <w:p>
      <w:pPr>
        <w:ind w:left="40"/>
        <w:spacing w:after="0" w:line="230" w:lineRule="auto"/>
        <w:rPr>
          <w:sz w:val="20"/>
          <w:szCs w:val="20"/>
          <w:color w:val="auto"/>
        </w:rPr>
      </w:pPr>
      <w:r>
        <w:rPr>
          <w:rFonts w:ascii="Arial" w:cs="Arial" w:eastAsia="Arial" w:hAnsi="Arial"/>
          <w:sz w:val="22"/>
          <w:szCs w:val="22"/>
          <w:color w:val="auto"/>
        </w:rPr>
        <w:t>Madison, Wisconsin 53783-0001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Attention: Investment Division-Private Placements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All payments on or in respect of the Notes to be by Federal Funds Wire Transfer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Bank, N.A.</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Trust Services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 Livingston Ave., St. Paul, MN 55107-2292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#091000022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Beneficial Account #180183083765</w:t>
      </w:r>
    </w:p>
    <w:p>
      <w:pPr>
        <w:spacing w:after="0" w:line="4" w:lineRule="exact"/>
        <w:rPr>
          <w:sz w:val="20"/>
          <w:szCs w:val="20"/>
          <w:color w:val="auto"/>
        </w:rPr>
      </w:pPr>
    </w:p>
    <w:p>
      <w:pPr>
        <w:ind w:left="660" w:right="2360"/>
        <w:spacing w:after="0" w:line="246" w:lineRule="auto"/>
        <w:rPr>
          <w:sz w:val="20"/>
          <w:szCs w:val="20"/>
          <w:color w:val="auto"/>
        </w:rPr>
      </w:pPr>
      <w:r>
        <w:rPr>
          <w:rFonts w:ascii="Arial" w:cs="Arial" w:eastAsia="Arial" w:hAnsi="Arial"/>
          <w:sz w:val="22"/>
          <w:szCs w:val="22"/>
          <w:color w:val="auto"/>
        </w:rPr>
        <w:t>FFC to American Family Trust Account #191050973663 for AFLIC-Par Cash &amp; Privates Credit for PPN: 02401@ AA7</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Accompanying Information</w:t>
      </w:r>
      <w:r>
        <w:rPr>
          <w:rFonts w:ascii="Arial" w:cs="Arial" w:eastAsia="Arial" w:hAnsi="Arial"/>
          <w:sz w:val="22"/>
          <w:szCs w:val="22"/>
          <w:color w:val="auto"/>
        </w:rPr>
        <w:t>:</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of Issuer: AMERICAN ASSETS TRUST, L.P.</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Description of Security: 4.04% Guaranteed Senior Notes, Series A , due October 31, 2021</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PPN: 02401@ AA7</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Due date and application (as among principal, premium and interest) of the payment being made</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Notices Related to Payments: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Family Life Insurance Company</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6000 American Parkway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Madison, Wisconsin 53783-0001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Investment Division-Private Placements</w:t>
      </w:r>
    </w:p>
    <w:p>
      <w:pPr>
        <w:sectPr>
          <w:pgSz w:w="11900" w:h="16838" w:orient="portrait"/>
          <w:cols w:equalWidth="0" w:num="1">
            <w:col w:w="10740"/>
          </w:cols>
          <w:pgMar w:left="240" w:top="1037" w:right="919"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22"/>
          <w:szCs w:val="22"/>
          <w:color w:val="auto"/>
        </w:rPr>
        <w:t>All Other Notices: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Family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6000 American Parkway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Madison, Wisconsin 53783-0001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Investment Division-Private Placements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Notices Regarding Audit Confirmations: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Family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6000 American Parkway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Madison, Wisconsin 53783-0001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Private Placements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Name of Nominee in which Notes are to be issued: BAND &amp; CO.</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Taxpayer I.D. Number: 39-6040365</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Physical Delivery:</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US Bank Milwaukee, N.A.</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Attn: Julie Wiza (MK-WI-T15C)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Trust Officer, Account Manager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777 E. Wisconsin Ave.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Milwaukee, WI 53202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American Family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6000 American Parkway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Madison, Wisconsin 53783-0001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Attention: Investment Division-Private Placements</w:t>
      </w:r>
    </w:p>
    <w:p>
      <w:pPr>
        <w:sectPr>
          <w:pgSz w:w="11900" w:h="16838" w:orient="portrait"/>
          <w:cols w:equalWidth="0" w:num="1">
            <w:col w:w="10219"/>
          </w:cols>
          <w:pgMar w:left="240" w:top="929" w:right="1440" w:bottom="1440" w:gutter="0" w:footer="0" w:header="0"/>
        </w:sectPr>
      </w:pPr>
    </w:p>
    <w:bookmarkStart w:id="169" w:name="page170"/>
    <w:bookmarkEnd w:id="169"/>
    <w:tbl>
      <w:tblPr>
        <w:tblLayout w:type="fixed"/>
        <w:tblInd w:w="40" w:type="dxa"/>
        <w:tblCellMar>
          <w:top w:w="0" w:type="dxa"/>
          <w:left w:w="0" w:type="dxa"/>
          <w:bottom w:w="0" w:type="dxa"/>
          <w:right w:w="0" w:type="dxa"/>
        </w:tblCellMar>
      </w:tblPr>
      <w:tr>
        <w:trPr>
          <w:trHeight w:val="253"/>
        </w:trPr>
        <w:tc>
          <w:tcPr>
            <w:tcW w:w="6100" w:type="dxa"/>
            <w:vAlign w:val="bottom"/>
          </w:tcPr>
          <w:p>
            <w:pPr>
              <w:spacing w:after="0"/>
              <w:rPr>
                <w:sz w:val="21"/>
                <w:szCs w:val="21"/>
                <w:color w:val="auto"/>
              </w:rPr>
            </w:pPr>
          </w:p>
        </w:tc>
        <w:tc>
          <w:tcPr>
            <w:tcW w:w="4680" w:type="dxa"/>
            <w:vAlign w:val="bottom"/>
            <w:gridSpan w:val="2"/>
          </w:tcPr>
          <w:p>
            <w:pPr>
              <w:jc w:val="center"/>
              <w:ind w:left="1172"/>
              <w:spacing w:after="0"/>
              <w:rPr>
                <w:sz w:val="20"/>
                <w:szCs w:val="20"/>
                <w:color w:val="auto"/>
              </w:rPr>
            </w:pPr>
            <w:r>
              <w:rPr>
                <w:rFonts w:ascii="Arial" w:cs="Arial" w:eastAsia="Arial" w:hAnsi="Arial"/>
                <w:sz w:val="22"/>
                <w:szCs w:val="22"/>
                <w:color w:val="auto"/>
                <w:w w:val="89"/>
              </w:rPr>
              <w:t>Principal Amount and Series</w:t>
            </w:r>
          </w:p>
        </w:tc>
      </w:tr>
      <w:tr>
        <w:trPr>
          <w:trHeight w:val="275"/>
        </w:trPr>
        <w:tc>
          <w:tcPr>
            <w:tcW w:w="6100" w:type="dxa"/>
            <w:vAlign w:val="bottom"/>
          </w:tcPr>
          <w:p>
            <w:pPr>
              <w:ind w:left="2000"/>
              <w:spacing w:after="0"/>
              <w:rPr>
                <w:sz w:val="20"/>
                <w:szCs w:val="20"/>
                <w:color w:val="auto"/>
              </w:rPr>
            </w:pPr>
            <w:r>
              <w:rPr>
                <w:rFonts w:ascii="Arial" w:cs="Arial" w:eastAsia="Arial" w:hAnsi="Arial"/>
                <w:sz w:val="22"/>
                <w:szCs w:val="22"/>
                <w:color w:val="auto"/>
              </w:rPr>
              <w:t>Name and Address of Purchaser</w:t>
            </w:r>
          </w:p>
        </w:tc>
        <w:tc>
          <w:tcPr>
            <w:tcW w:w="4680" w:type="dxa"/>
            <w:vAlign w:val="bottom"/>
            <w:gridSpan w:val="2"/>
          </w:tcPr>
          <w:p>
            <w:pPr>
              <w:jc w:val="center"/>
              <w:ind w:left="1212"/>
              <w:spacing w:after="0"/>
              <w:rPr>
                <w:sz w:val="20"/>
                <w:szCs w:val="20"/>
                <w:color w:val="auto"/>
              </w:rPr>
            </w:pPr>
            <w:r>
              <w:rPr>
                <w:rFonts w:ascii="Arial" w:cs="Arial" w:eastAsia="Arial" w:hAnsi="Arial"/>
                <w:sz w:val="22"/>
                <w:szCs w:val="22"/>
                <w:color w:val="auto"/>
                <w:w w:val="87"/>
              </w:rPr>
              <w:t>of Notes to Be Purchased</w:t>
            </w:r>
          </w:p>
        </w:tc>
      </w:tr>
      <w:tr>
        <w:trPr>
          <w:trHeight w:val="482"/>
        </w:trPr>
        <w:tc>
          <w:tcPr>
            <w:tcW w:w="6100" w:type="dxa"/>
            <w:vAlign w:val="bottom"/>
          </w:tcPr>
          <w:p>
            <w:pPr>
              <w:spacing w:after="0"/>
              <w:rPr>
                <w:sz w:val="20"/>
                <w:szCs w:val="20"/>
                <w:color w:val="auto"/>
              </w:rPr>
            </w:pPr>
            <w:r>
              <w:rPr>
                <w:rFonts w:ascii="Arial" w:cs="Arial" w:eastAsia="Arial" w:hAnsi="Arial"/>
                <w:sz w:val="22"/>
                <w:szCs w:val="22"/>
                <w:b w:val="1"/>
                <w:bCs w:val="1"/>
                <w:color w:val="auto"/>
              </w:rPr>
              <w:t>ASSURITY LIFE INSURANCE COMPANY</w:t>
            </w:r>
          </w:p>
        </w:tc>
        <w:tc>
          <w:tcPr>
            <w:tcW w:w="2640" w:type="dxa"/>
            <w:vAlign w:val="bottom"/>
          </w:tcPr>
          <w:p>
            <w:pPr>
              <w:ind w:left="1300"/>
              <w:spacing w:after="0"/>
              <w:rPr>
                <w:sz w:val="20"/>
                <w:szCs w:val="20"/>
                <w:color w:val="auto"/>
              </w:rPr>
            </w:pPr>
            <w:r>
              <w:rPr>
                <w:rFonts w:ascii="Arial" w:cs="Arial" w:eastAsia="Arial" w:hAnsi="Arial"/>
                <w:sz w:val="22"/>
                <w:szCs w:val="22"/>
                <w:color w:val="auto"/>
              </w:rPr>
              <w:t>Series A</w:t>
            </w:r>
          </w:p>
        </w:tc>
        <w:tc>
          <w:tcPr>
            <w:tcW w:w="2040" w:type="dxa"/>
            <w:vAlign w:val="bottom"/>
          </w:tcPr>
          <w:p>
            <w:pPr>
              <w:ind w:left="600"/>
              <w:spacing w:after="0"/>
              <w:rPr>
                <w:sz w:val="20"/>
                <w:szCs w:val="20"/>
                <w:color w:val="auto"/>
              </w:rPr>
            </w:pPr>
            <w:r>
              <w:rPr>
                <w:rFonts w:ascii="Arial" w:cs="Arial" w:eastAsia="Arial" w:hAnsi="Arial"/>
                <w:sz w:val="22"/>
                <w:szCs w:val="22"/>
                <w:color w:val="auto"/>
                <w:w w:val="89"/>
              </w:rPr>
              <w:t>U.S. $3,000,000</w:t>
            </w:r>
          </w:p>
        </w:tc>
      </w:tr>
      <w:tr>
        <w:trPr>
          <w:trHeight w:val="288"/>
        </w:trPr>
        <w:tc>
          <w:tcPr>
            <w:tcW w:w="6100" w:type="dxa"/>
            <w:vAlign w:val="bottom"/>
          </w:tcPr>
          <w:p>
            <w:pPr>
              <w:spacing w:after="0"/>
              <w:rPr>
                <w:sz w:val="20"/>
                <w:szCs w:val="20"/>
                <w:color w:val="auto"/>
              </w:rPr>
            </w:pPr>
            <w:r>
              <w:rPr>
                <w:rFonts w:ascii="Arial" w:cs="Arial" w:eastAsia="Arial" w:hAnsi="Arial"/>
                <w:sz w:val="22"/>
                <w:szCs w:val="22"/>
                <w:color w:val="auto"/>
              </w:rPr>
              <w:t>2000 Q Street</w:t>
            </w:r>
          </w:p>
        </w:tc>
        <w:tc>
          <w:tcPr>
            <w:tcW w:w="2640" w:type="dxa"/>
            <w:vAlign w:val="bottom"/>
          </w:tcPr>
          <w:p>
            <w:pPr>
              <w:ind w:left="1340"/>
              <w:spacing w:after="0"/>
              <w:rPr>
                <w:sz w:val="20"/>
                <w:szCs w:val="20"/>
                <w:color w:val="auto"/>
              </w:rPr>
            </w:pPr>
            <w:r>
              <w:rPr>
                <w:rFonts w:ascii="Arial" w:cs="Arial" w:eastAsia="Arial" w:hAnsi="Arial"/>
                <w:sz w:val="22"/>
                <w:szCs w:val="22"/>
                <w:color w:val="auto"/>
              </w:rPr>
              <w:t>Series B</w:t>
            </w:r>
          </w:p>
        </w:tc>
        <w:tc>
          <w:tcPr>
            <w:tcW w:w="2040" w:type="dxa"/>
            <w:vAlign w:val="bottom"/>
          </w:tcPr>
          <w:p>
            <w:pPr>
              <w:ind w:left="620"/>
              <w:spacing w:after="0"/>
              <w:rPr>
                <w:sz w:val="20"/>
                <w:szCs w:val="20"/>
                <w:color w:val="auto"/>
              </w:rPr>
            </w:pPr>
            <w:r>
              <w:rPr>
                <w:rFonts w:ascii="Arial" w:cs="Arial" w:eastAsia="Arial" w:hAnsi="Arial"/>
                <w:sz w:val="22"/>
                <w:szCs w:val="22"/>
                <w:color w:val="auto"/>
                <w:w w:val="88"/>
              </w:rPr>
              <w:t>U.S. $2,000,000</w:t>
            </w:r>
          </w:p>
        </w:tc>
      </w:tr>
    </w:tbl>
    <w:p>
      <w:pPr>
        <w:ind w:left="40"/>
        <w:spacing w:after="0" w:line="230" w:lineRule="auto"/>
        <w:rPr>
          <w:sz w:val="20"/>
          <w:szCs w:val="20"/>
          <w:color w:val="auto"/>
        </w:rPr>
      </w:pPr>
      <w:r>
        <w:rPr>
          <w:rFonts w:ascii="Arial" w:cs="Arial" w:eastAsia="Arial" w:hAnsi="Arial"/>
          <w:sz w:val="22"/>
          <w:szCs w:val="22"/>
          <w:color w:val="auto"/>
        </w:rPr>
        <w:t>Lincoln, NE 68501-2533</w:t>
      </w:r>
    </w:p>
    <w:p>
      <w:pPr>
        <w:ind w:left="40"/>
        <w:spacing w:after="0" w:line="231" w:lineRule="auto"/>
        <w:rPr>
          <w:sz w:val="20"/>
          <w:szCs w:val="20"/>
          <w:color w:val="auto"/>
        </w:rPr>
      </w:pPr>
      <w:r>
        <w:rPr>
          <w:rFonts w:ascii="Arial" w:cs="Arial" w:eastAsia="Arial" w:hAnsi="Arial"/>
          <w:sz w:val="22"/>
          <w:szCs w:val="22"/>
          <w:color w:val="auto"/>
        </w:rPr>
        <w:t>Attention: Investment Division</w:t>
      </w:r>
    </w:p>
    <w:p>
      <w:pPr>
        <w:ind w:left="40"/>
        <w:spacing w:after="0" w:line="230" w:lineRule="auto"/>
        <w:rPr>
          <w:sz w:val="20"/>
          <w:szCs w:val="20"/>
          <w:color w:val="auto"/>
        </w:rPr>
      </w:pPr>
      <w:r>
        <w:rPr>
          <w:rFonts w:ascii="Arial" w:cs="Arial" w:eastAsia="Arial" w:hAnsi="Arial"/>
          <w:sz w:val="22"/>
          <w:szCs w:val="22"/>
          <w:color w:val="auto"/>
        </w:rPr>
        <w:t>Fax: (402) 458-2170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Phone: (402) 437-3682</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60" w:lineRule="exact"/>
        <w:rPr>
          <w:sz w:val="20"/>
          <w:szCs w:val="20"/>
          <w:color w:val="auto"/>
        </w:rPr>
      </w:pPr>
    </w:p>
    <w:p>
      <w:pPr>
        <w:ind w:left="660" w:hanging="652"/>
        <w:spacing w:after="0" w:line="263" w:lineRule="auto"/>
        <w:tabs>
          <w:tab w:leader="none" w:pos="6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All payments on or in respect of the Notes shall be made by wire transfer of immediately available funds at the opening of business on the due date to:</w:t>
      </w:r>
    </w:p>
    <w:p>
      <w:pPr>
        <w:spacing w:after="0" w:line="215" w:lineRule="exact"/>
        <w:rPr>
          <w:rFonts w:ascii="Arial" w:cs="Arial" w:eastAsia="Arial" w:hAnsi="Arial"/>
          <w:sz w:val="22"/>
          <w:szCs w:val="22"/>
          <w:color w:val="auto"/>
        </w:rPr>
      </w:pPr>
    </w:p>
    <w:p>
      <w:pPr>
        <w:ind w:left="660" w:right="7020"/>
        <w:spacing w:after="0" w:line="251" w:lineRule="auto"/>
        <w:rPr>
          <w:rFonts w:ascii="Arial" w:cs="Arial" w:eastAsia="Arial" w:hAnsi="Arial"/>
          <w:sz w:val="22"/>
          <w:szCs w:val="22"/>
          <w:color w:val="auto"/>
        </w:rPr>
      </w:pPr>
      <w:r>
        <w:rPr>
          <w:rFonts w:ascii="Arial" w:cs="Arial" w:eastAsia="Arial" w:hAnsi="Arial"/>
          <w:sz w:val="22"/>
          <w:szCs w:val="22"/>
          <w:color w:val="auto"/>
        </w:rPr>
        <w:t>US BANK NATIONAL ASSOCIATION 13th &amp; M Streets</w:t>
      </w:r>
    </w:p>
    <w:p>
      <w:pPr>
        <w:spacing w:after="0" w:line="2" w:lineRule="exact"/>
        <w:rPr>
          <w:rFonts w:ascii="Arial" w:cs="Arial" w:eastAsia="Arial" w:hAnsi="Arial"/>
          <w:sz w:val="22"/>
          <w:szCs w:val="22"/>
          <w:color w:val="auto"/>
        </w:rPr>
      </w:pPr>
    </w:p>
    <w:p>
      <w:pPr>
        <w:ind w:left="660" w:right="8720"/>
        <w:spacing w:after="0" w:line="323" w:lineRule="auto"/>
        <w:rPr>
          <w:rFonts w:ascii="Arial" w:cs="Arial" w:eastAsia="Arial" w:hAnsi="Arial"/>
          <w:sz w:val="22"/>
          <w:szCs w:val="22"/>
          <w:color w:val="auto"/>
        </w:rPr>
      </w:pPr>
      <w:r>
        <w:rPr>
          <w:rFonts w:ascii="Arial" w:cs="Arial" w:eastAsia="Arial" w:hAnsi="Arial"/>
          <w:sz w:val="19"/>
          <w:szCs w:val="19"/>
          <w:color w:val="auto"/>
        </w:rPr>
        <w:t>Lincoln, NE 68508 ABA No. 104000029</w:t>
      </w:r>
    </w:p>
    <w:p>
      <w:pPr>
        <w:spacing w:after="0" w:line="15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b w:val="1"/>
          <w:bCs w:val="1"/>
          <w:color w:val="auto"/>
        </w:rPr>
        <w:t>Account of: Assurity Life Insurance Company</w:t>
      </w:r>
    </w:p>
    <w:p>
      <w:pPr>
        <w:spacing w:after="0" w:line="2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b w:val="1"/>
          <w:bCs w:val="1"/>
          <w:color w:val="auto"/>
        </w:rPr>
        <w:t>General Fund Account: 1-494-0092-9092</w:t>
      </w:r>
    </w:p>
    <w:p>
      <w:pPr>
        <w:spacing w:after="0" w:line="242" w:lineRule="exact"/>
        <w:rPr>
          <w:rFonts w:ascii="Arial" w:cs="Arial" w:eastAsia="Arial" w:hAnsi="Arial"/>
          <w:sz w:val="22"/>
          <w:szCs w:val="22"/>
          <w:color w:val="auto"/>
        </w:rPr>
      </w:pPr>
    </w:p>
    <w:p>
      <w:pPr>
        <w:ind w:left="660" w:right="700"/>
        <w:spacing w:after="0" w:line="343" w:lineRule="auto"/>
        <w:rPr>
          <w:rFonts w:ascii="Arial" w:cs="Arial" w:eastAsia="Arial" w:hAnsi="Arial"/>
          <w:sz w:val="22"/>
          <w:szCs w:val="22"/>
          <w:color w:val="auto"/>
        </w:rPr>
      </w:pPr>
      <w:r>
        <w:rPr>
          <w:rFonts w:ascii="Arial" w:cs="Arial" w:eastAsia="Arial" w:hAnsi="Arial"/>
          <w:sz w:val="19"/>
          <w:szCs w:val="19"/>
          <w:color w:val="auto"/>
        </w:rPr>
        <w:t>Each such wire transfer shall set forth the name of the issuer, the full title of the Notes (including the rate and final redemption to maturity date) and application of such funds among principle, premium and interest, if applicable.</w:t>
      </w:r>
    </w:p>
    <w:p>
      <w:pPr>
        <w:spacing w:after="0" w:line="145" w:lineRule="exact"/>
        <w:rPr>
          <w:rFonts w:ascii="Arial" w:cs="Arial" w:eastAsia="Arial" w:hAnsi="Arial"/>
          <w:sz w:val="22"/>
          <w:szCs w:val="22"/>
          <w:color w:val="auto"/>
        </w:rPr>
      </w:pPr>
    </w:p>
    <w:p>
      <w:pPr>
        <w:ind w:left="660" w:hanging="652"/>
        <w:spacing w:after="0"/>
        <w:tabs>
          <w:tab w:leader="none" w:pos="6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All Notices of payment and written confirmations of such wire transfers should be sent to:</w:t>
      </w:r>
    </w:p>
    <w:p>
      <w:pPr>
        <w:spacing w:after="0" w:line="260" w:lineRule="exact"/>
        <w:rPr>
          <w:rFonts w:ascii="Arial" w:cs="Arial" w:eastAsia="Arial" w:hAnsi="Arial"/>
          <w:sz w:val="22"/>
          <w:szCs w:val="22"/>
          <w:color w:val="auto"/>
        </w:rPr>
      </w:pPr>
    </w:p>
    <w:p>
      <w:pPr>
        <w:ind w:left="660" w:right="7640"/>
        <w:spacing w:after="0" w:line="251" w:lineRule="auto"/>
        <w:rPr>
          <w:rFonts w:ascii="Arial" w:cs="Arial" w:eastAsia="Arial" w:hAnsi="Arial"/>
          <w:sz w:val="22"/>
          <w:szCs w:val="22"/>
          <w:color w:val="auto"/>
        </w:rPr>
      </w:pPr>
      <w:r>
        <w:rPr>
          <w:rFonts w:ascii="Arial" w:cs="Arial" w:eastAsia="Arial" w:hAnsi="Arial"/>
          <w:sz w:val="22"/>
          <w:szCs w:val="22"/>
          <w:color w:val="auto"/>
        </w:rPr>
        <w:t>Assurity Life Insurance Company 2000 Q Street</w:t>
      </w:r>
    </w:p>
    <w:p>
      <w:pPr>
        <w:spacing w:after="0" w:line="2"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Lincoln, NE 68503</w:t>
      </w:r>
    </w:p>
    <w:p>
      <w:pPr>
        <w:spacing w:after="0" w:line="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Attention: Investment Division</w:t>
      </w:r>
    </w:p>
    <w:p>
      <w:pPr>
        <w:spacing w:after="0" w:line="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Fax: (402) 458-2170</w:t>
      </w:r>
    </w:p>
    <w:p>
      <w:pPr>
        <w:spacing w:after="0" w:line="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Phone: (402) 437-3682</w:t>
      </w:r>
    </w:p>
    <w:p>
      <w:pPr>
        <w:spacing w:after="0" w:line="242" w:lineRule="exact"/>
        <w:rPr>
          <w:rFonts w:ascii="Arial" w:cs="Arial" w:eastAsia="Arial" w:hAnsi="Arial"/>
          <w:sz w:val="22"/>
          <w:szCs w:val="22"/>
          <w:color w:val="auto"/>
        </w:rPr>
      </w:pPr>
    </w:p>
    <w:p>
      <w:pPr>
        <w:ind w:left="660" w:hanging="652"/>
        <w:spacing w:after="0"/>
        <w:tabs>
          <w:tab w:leader="none" w:pos="6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All other communications should be sent to:</w:t>
      </w:r>
    </w:p>
    <w:p>
      <w:pPr>
        <w:spacing w:after="0" w:line="260" w:lineRule="exact"/>
        <w:rPr>
          <w:rFonts w:ascii="Arial" w:cs="Arial" w:eastAsia="Arial" w:hAnsi="Arial"/>
          <w:sz w:val="22"/>
          <w:szCs w:val="22"/>
          <w:color w:val="auto"/>
        </w:rPr>
      </w:pPr>
    </w:p>
    <w:p>
      <w:pPr>
        <w:ind w:left="660" w:right="7640"/>
        <w:spacing w:after="0" w:line="251" w:lineRule="auto"/>
        <w:rPr>
          <w:rFonts w:ascii="Arial" w:cs="Arial" w:eastAsia="Arial" w:hAnsi="Arial"/>
          <w:sz w:val="22"/>
          <w:szCs w:val="22"/>
          <w:color w:val="auto"/>
        </w:rPr>
      </w:pPr>
      <w:r>
        <w:rPr>
          <w:rFonts w:ascii="Arial" w:cs="Arial" w:eastAsia="Arial" w:hAnsi="Arial"/>
          <w:sz w:val="22"/>
          <w:szCs w:val="22"/>
          <w:color w:val="auto"/>
        </w:rPr>
        <w:t>Assurity Life Insurance Company 2000 Q Street</w:t>
      </w:r>
    </w:p>
    <w:p>
      <w:pPr>
        <w:spacing w:after="0" w:line="2" w:lineRule="exact"/>
        <w:rPr>
          <w:rFonts w:ascii="Arial" w:cs="Arial" w:eastAsia="Arial" w:hAnsi="Arial"/>
          <w:sz w:val="22"/>
          <w:szCs w:val="22"/>
          <w:color w:val="auto"/>
        </w:rPr>
      </w:pPr>
    </w:p>
    <w:p>
      <w:pPr>
        <w:ind w:left="660" w:right="8420"/>
        <w:spacing w:after="0" w:line="323" w:lineRule="auto"/>
        <w:rPr>
          <w:rFonts w:ascii="Arial" w:cs="Arial" w:eastAsia="Arial" w:hAnsi="Arial"/>
          <w:sz w:val="22"/>
          <w:szCs w:val="22"/>
          <w:color w:val="auto"/>
        </w:rPr>
      </w:pPr>
      <w:r>
        <w:rPr>
          <w:rFonts w:ascii="Arial" w:cs="Arial" w:eastAsia="Arial" w:hAnsi="Arial"/>
          <w:sz w:val="19"/>
          <w:szCs w:val="19"/>
          <w:color w:val="auto"/>
        </w:rPr>
        <w:t>P.O. Box 82533 Lincoln, NE 68501-2533</w:t>
      </w:r>
    </w:p>
    <w:p>
      <w:pPr>
        <w:sectPr>
          <w:pgSz w:w="11900" w:h="16838" w:orient="portrait"/>
          <w:cols w:equalWidth="0" w:num="1">
            <w:col w:w="11240"/>
          </w:cols>
          <w:pgMar w:left="240" w:top="1027" w:right="419" w:bottom="1440" w:gutter="0" w:footer="0" w:header="0"/>
        </w:sectPr>
      </w:pPr>
    </w:p>
    <w:bookmarkStart w:id="170" w:name="page171"/>
    <w:bookmarkEnd w:id="170"/>
    <w:p>
      <w:pPr>
        <w:ind w:left="652" w:hanging="652"/>
        <w:spacing w:after="0"/>
        <w:tabs>
          <w:tab w:leader="none" w:pos="65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Contact:</w:t>
      </w:r>
    </w:p>
    <w:p>
      <w:pPr>
        <w:spacing w:after="0" w:line="287"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Victor Weber</w:t>
      </w:r>
    </w:p>
    <w:p>
      <w:pPr>
        <w:spacing w:after="0" w:line="44" w:lineRule="exact"/>
        <w:rPr>
          <w:rFonts w:ascii="Arial" w:cs="Arial" w:eastAsia="Arial" w:hAnsi="Arial"/>
          <w:sz w:val="22"/>
          <w:szCs w:val="22"/>
          <w:color w:val="auto"/>
        </w:rPr>
      </w:pPr>
    </w:p>
    <w:p>
      <w:pPr>
        <w:ind w:left="652" w:right="6999"/>
        <w:spacing w:after="0" w:line="326" w:lineRule="auto"/>
        <w:rPr>
          <w:rFonts w:ascii="Arial" w:cs="Arial" w:eastAsia="Arial" w:hAnsi="Arial"/>
          <w:sz w:val="22"/>
          <w:szCs w:val="22"/>
          <w:color w:val="auto"/>
        </w:rPr>
      </w:pPr>
      <w:r>
        <w:rPr>
          <w:rFonts w:ascii="Arial" w:cs="Arial" w:eastAsia="Arial" w:hAnsi="Arial"/>
          <w:sz w:val="19"/>
          <w:szCs w:val="19"/>
          <w:color w:val="auto"/>
        </w:rPr>
        <w:t>Senior Director - Investments Telephone: 402/437-3682 FAX: 402/458-2170</w:t>
      </w:r>
    </w:p>
    <w:p>
      <w:pPr>
        <w:spacing w:after="0" w:line="1"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1"/>
          <w:szCs w:val="21"/>
          <w:color w:val="auto"/>
        </w:rPr>
        <w:t>E-mail: vweber@asssurity.com</w:t>
      </w:r>
    </w:p>
    <w:p>
      <w:pPr>
        <w:spacing w:after="0" w:line="298" w:lineRule="exact"/>
        <w:rPr>
          <w:rFonts w:ascii="Arial" w:cs="Arial" w:eastAsia="Arial" w:hAnsi="Arial"/>
          <w:sz w:val="22"/>
          <w:szCs w:val="22"/>
          <w:color w:val="auto"/>
        </w:rPr>
      </w:pPr>
    </w:p>
    <w:p>
      <w:pPr>
        <w:ind w:left="472" w:hanging="472"/>
        <w:spacing w:after="0"/>
        <w:tabs>
          <w:tab w:leader="none" w:pos="47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Tax I.D. Number: 38-1843471</w:t>
      </w:r>
    </w:p>
    <w:p>
      <w:pPr>
        <w:spacing w:after="0" w:line="287" w:lineRule="exact"/>
        <w:rPr>
          <w:rFonts w:ascii="Arial" w:cs="Arial" w:eastAsia="Arial" w:hAnsi="Arial"/>
          <w:sz w:val="22"/>
          <w:szCs w:val="22"/>
          <w:color w:val="auto"/>
        </w:rPr>
      </w:pPr>
    </w:p>
    <w:p>
      <w:pPr>
        <w:ind w:left="472" w:hanging="472"/>
        <w:spacing w:after="0"/>
        <w:tabs>
          <w:tab w:leader="none" w:pos="472" w:val="left"/>
        </w:tabs>
        <w:numPr>
          <w:ilvl w:val="0"/>
          <w:numId w:val="128"/>
        </w:numPr>
        <w:rPr>
          <w:rFonts w:ascii="Arial" w:cs="Arial" w:eastAsia="Arial" w:hAnsi="Arial"/>
          <w:sz w:val="19"/>
          <w:szCs w:val="19"/>
          <w:color w:val="auto"/>
        </w:rPr>
      </w:pPr>
      <w:r>
        <w:rPr>
          <w:rFonts w:ascii="Arial" w:cs="Arial" w:eastAsia="Arial" w:hAnsi="Arial"/>
          <w:sz w:val="19"/>
          <w:szCs w:val="19"/>
          <w:i w:val="1"/>
          <w:iCs w:val="1"/>
          <w:color w:val="auto"/>
        </w:rPr>
        <w:t>Securities should be delivered to:</w:t>
      </w:r>
    </w:p>
    <w:p>
      <w:pPr>
        <w:spacing w:after="0" w:line="308" w:lineRule="exact"/>
        <w:rPr>
          <w:sz w:val="20"/>
          <w:szCs w:val="20"/>
          <w:color w:val="auto"/>
        </w:rPr>
      </w:pPr>
    </w:p>
    <w:p>
      <w:pPr>
        <w:ind w:left="652"/>
        <w:spacing w:after="0"/>
        <w:rPr>
          <w:sz w:val="20"/>
          <w:szCs w:val="20"/>
          <w:color w:val="auto"/>
        </w:rPr>
      </w:pPr>
      <w:r>
        <w:rPr>
          <w:rFonts w:ascii="Arial" w:cs="Arial" w:eastAsia="Arial" w:hAnsi="Arial"/>
          <w:sz w:val="19"/>
          <w:szCs w:val="19"/>
          <w:i w:val="1"/>
          <w:iCs w:val="1"/>
          <w:color w:val="auto"/>
        </w:rPr>
        <w:t>Assurity Life Insurance Company</w:t>
      </w:r>
    </w:p>
    <w:p>
      <w:pPr>
        <w:spacing w:after="0" w:line="56" w:lineRule="exact"/>
        <w:rPr>
          <w:sz w:val="20"/>
          <w:szCs w:val="20"/>
          <w:color w:val="auto"/>
        </w:rPr>
      </w:pPr>
    </w:p>
    <w:p>
      <w:pPr>
        <w:ind w:left="652"/>
        <w:spacing w:after="0"/>
        <w:rPr>
          <w:sz w:val="20"/>
          <w:szCs w:val="20"/>
          <w:color w:val="auto"/>
        </w:rPr>
      </w:pPr>
      <w:r>
        <w:rPr>
          <w:rFonts w:ascii="Arial" w:cs="Arial" w:eastAsia="Arial" w:hAnsi="Arial"/>
          <w:sz w:val="22"/>
          <w:szCs w:val="22"/>
          <w:i w:val="1"/>
          <w:iCs w:val="1"/>
          <w:color w:val="auto"/>
        </w:rPr>
        <w:t>2000 Q Street</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i w:val="1"/>
          <w:iCs w:val="1"/>
          <w:color w:val="auto"/>
        </w:rPr>
        <w:t>Lincoln, NE 68503</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i w:val="1"/>
          <w:iCs w:val="1"/>
          <w:color w:val="auto"/>
        </w:rPr>
        <w:t>Attention: Victor Weber</w:t>
      </w:r>
    </w:p>
    <w:p>
      <w:pPr>
        <w:sectPr>
          <w:pgSz w:w="11900" w:h="16838" w:orient="portrait"/>
          <w:cols w:equalWidth="0" w:num="1">
            <w:col w:w="10211"/>
          </w:cols>
          <w:pgMar w:left="248" w:top="928" w:right="1440" w:bottom="1440" w:gutter="0" w:footer="0" w:header="0"/>
        </w:sectPr>
      </w:pPr>
    </w:p>
    <w:bookmarkStart w:id="171" w:name="page172"/>
    <w:bookmarkEnd w:id="171"/>
    <w:p>
      <w:pPr>
        <w:spacing w:after="0" w:line="24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and Address of Purchaser</w:t>
      </w: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AXA EQUITABLE LIFE INSURANCE COMPANY</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525 Washington Blvd., 34th Floor</w:t>
      </w:r>
    </w:p>
    <w:p>
      <w:pPr>
        <w:ind w:left="40"/>
        <w:spacing w:after="0" w:line="230" w:lineRule="auto"/>
        <w:rPr>
          <w:sz w:val="20"/>
          <w:szCs w:val="20"/>
          <w:color w:val="auto"/>
        </w:rPr>
      </w:pPr>
      <w:r>
        <w:rPr>
          <w:rFonts w:ascii="Arial" w:cs="Arial" w:eastAsia="Arial" w:hAnsi="Arial"/>
          <w:sz w:val="22"/>
          <w:szCs w:val="22"/>
          <w:color w:val="auto"/>
        </w:rPr>
        <w:t>Jersey City, New Jersey 07310</w:t>
      </w:r>
    </w:p>
    <w:p>
      <w:pPr>
        <w:ind w:left="40"/>
        <w:spacing w:after="0" w:line="231" w:lineRule="auto"/>
        <w:rPr>
          <w:sz w:val="20"/>
          <w:szCs w:val="20"/>
          <w:color w:val="auto"/>
        </w:rPr>
      </w:pPr>
      <w:r>
        <w:rPr>
          <w:rFonts w:ascii="Arial" w:cs="Arial" w:eastAsia="Arial" w:hAnsi="Arial"/>
          <w:sz w:val="22"/>
          <w:szCs w:val="22"/>
          <w:color w:val="auto"/>
        </w:rPr>
        <w:t>Attention: Lynn Garofalo</w:t>
      </w:r>
    </w:p>
    <w:p>
      <w:pPr>
        <w:ind w:left="1060"/>
        <w:spacing w:after="0"/>
        <w:rPr>
          <w:sz w:val="20"/>
          <w:szCs w:val="20"/>
          <w:color w:val="auto"/>
        </w:rPr>
      </w:pPr>
      <w:r>
        <w:rPr>
          <w:rFonts w:ascii="Arial" w:cs="Arial" w:eastAsia="Arial" w:hAnsi="Arial"/>
          <w:sz w:val="22"/>
          <w:szCs w:val="22"/>
          <w:color w:val="auto"/>
        </w:rPr>
        <w:t>Telephone Number: (201) 743-6634</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Manner of Payments and Notices</w:t>
      </w:r>
      <w:r>
        <w:rPr>
          <w:rFonts w:ascii="Arial" w:cs="Arial" w:eastAsia="Arial" w:hAnsi="Arial"/>
          <w:sz w:val="22"/>
          <w:szCs w:val="22"/>
          <w:b w:val="1"/>
          <w:bCs w:val="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All payments shall be made by wire transfer of immediately available funds to:</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Chase Manhattan Bank, N.A.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Account (s): AXA Equitable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 Chase Metrotech Center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Brooklyn, New York 11245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No.: 021-000021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Bank Account: 037-2-413336</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Custody Account: G04657</w:t>
      </w:r>
    </w:p>
    <w:p>
      <w:pPr>
        <w:spacing w:after="0" w:line="20" w:lineRule="exact"/>
        <w:rPr>
          <w:sz w:val="20"/>
          <w:szCs w:val="20"/>
          <w:color w:val="auto"/>
        </w:rPr>
      </w:pPr>
      <w:r>
        <w:rPr>
          <w:sz w:val="20"/>
          <w:szCs w:val="20"/>
          <w:color w:val="auto"/>
        </w:rPr>
        <w:br w:type="column"/>
      </w:r>
    </w:p>
    <w:p>
      <w:pPr>
        <w:ind w:left="520" w:right="1060" w:hanging="173"/>
        <w:spacing w:after="0" w:line="328" w:lineRule="auto"/>
        <w:rPr>
          <w:sz w:val="20"/>
          <w:szCs w:val="20"/>
          <w:color w:val="auto"/>
        </w:rPr>
      </w:pPr>
      <w:r>
        <w:rPr>
          <w:rFonts w:ascii="Arial" w:cs="Arial" w:eastAsia="Arial" w:hAnsi="Arial"/>
          <w:sz w:val="19"/>
          <w:szCs w:val="19"/>
          <w:color w:val="auto"/>
        </w:rPr>
        <w:t>Principal Amount and Series of Notes to Be Purchased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20" w:type="dxa"/>
            <w:vAlign w:val="bottom"/>
          </w:tcPr>
          <w:p>
            <w:pPr>
              <w:spacing w:after="0"/>
              <w:rPr>
                <w:sz w:val="20"/>
                <w:szCs w:val="20"/>
                <w:color w:val="auto"/>
              </w:rPr>
            </w:pPr>
            <w:r>
              <w:rPr>
                <w:rFonts w:ascii="Arial" w:cs="Arial" w:eastAsia="Arial" w:hAnsi="Arial"/>
                <w:sz w:val="22"/>
                <w:szCs w:val="22"/>
                <w:color w:val="auto"/>
              </w:rPr>
              <w:t>Series A</w:t>
            </w:r>
          </w:p>
        </w:tc>
        <w:tc>
          <w:tcPr>
            <w:tcW w:w="2100" w:type="dxa"/>
            <w:vAlign w:val="bottom"/>
          </w:tcPr>
          <w:p>
            <w:pPr>
              <w:ind w:left="580"/>
              <w:spacing w:after="0"/>
              <w:rPr>
                <w:sz w:val="20"/>
                <w:szCs w:val="20"/>
                <w:color w:val="auto"/>
              </w:rPr>
            </w:pPr>
            <w:r>
              <w:rPr>
                <w:rFonts w:ascii="Arial" w:cs="Arial" w:eastAsia="Arial" w:hAnsi="Arial"/>
                <w:sz w:val="22"/>
                <w:szCs w:val="22"/>
                <w:color w:val="auto"/>
                <w:w w:val="87"/>
              </w:rPr>
              <w:t>U.S. $27,000,000</w:t>
            </w:r>
          </w:p>
        </w:tc>
      </w:tr>
    </w:tbl>
    <w:p>
      <w:pPr>
        <w:spacing w:after="0" w:line="4581" w:lineRule="exact"/>
        <w:rPr>
          <w:sz w:val="20"/>
          <w:szCs w:val="20"/>
          <w:color w:val="auto"/>
        </w:rPr>
      </w:pPr>
    </w:p>
    <w:p>
      <w:pPr>
        <w:sectPr>
          <w:pgSz w:w="11900" w:h="16838" w:orient="portrait"/>
          <w:cols w:equalWidth="0" w:num="2">
            <w:col w:w="6840" w:space="680"/>
            <w:col w:w="3900"/>
          </w:cols>
          <w:pgMar w:left="240" w:top="1036" w:right="239" w:bottom="1440" w:gutter="0" w:footer="0" w:header="0"/>
        </w:sectPr>
      </w:pPr>
    </w:p>
    <w:p>
      <w:pPr>
        <w:spacing w:after="0" w:line="87"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Each such wire shall show the name of the Company, the Private Placement Number, the due date of the payment being made and, if such payment is a final payment.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Notices of Payments and Written Confirmations</w:t>
      </w:r>
      <w:r>
        <w:rPr>
          <w:rFonts w:ascii="Arial" w:cs="Arial" w:eastAsia="Arial" w:hAnsi="Arial"/>
          <w:sz w:val="22"/>
          <w:szCs w:val="22"/>
          <w:b w:val="1"/>
          <w:bCs w:val="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All notices of payments and written confirmations of wire transfers should be sent to:</w:t>
      </w:r>
    </w:p>
    <w:p>
      <w:pPr>
        <w:spacing w:after="0" w:line="287"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AXA Equitable Life Insurance Company</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C/O AllianceBernstein LP</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1345 Avenue of the America</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37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New York, New York 10105</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Attention: Cosmo Valente / Mike Maher / Mei Wong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Telephone: 212/969-6384 / 212-823-2873 / 212-969-2112</w:t>
      </w:r>
    </w:p>
    <w:p>
      <w:pPr>
        <w:spacing w:after="0" w:line="44"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cosmo.valente@alliancebernstein.com</w:t>
      </w:r>
    </w:p>
    <w:p>
      <w:pPr>
        <w:spacing w:after="0" w:line="4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mike.maher@alliancebernstein.com</w:t>
      </w:r>
    </w:p>
    <w:p>
      <w:pPr>
        <w:spacing w:after="0" w:line="4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mei.wong@alliancebernstein.com</w:t>
      </w:r>
    </w:p>
    <w:p>
      <w:pPr>
        <w:sectPr>
          <w:pgSz w:w="11900" w:h="16838" w:orient="portrait"/>
          <w:cols w:equalWidth="0" w:num="1">
            <w:col w:w="11420"/>
          </w:cols>
          <w:pgMar w:left="240" w:top="1036" w:right="239"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22"/>
          <w:szCs w:val="22"/>
          <w:b w:val="1"/>
          <w:bCs w:val="1"/>
          <w:u w:val="single" w:color="auto"/>
          <w:color w:val="auto"/>
        </w:rPr>
        <w:t>Address for all other communications</w:t>
      </w:r>
      <w:r>
        <w:rPr>
          <w:rFonts w:ascii="Arial" w:cs="Arial" w:eastAsia="Arial" w:hAnsi="Arial"/>
          <w:sz w:val="22"/>
          <w:szCs w:val="22"/>
          <w:b w:val="1"/>
          <w:bCs w:val="1"/>
          <w:color w:val="auto"/>
        </w:rPr>
        <w: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AXA Equitable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AllianceBernstein LP</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1345 Avenue of the Americas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37th Floor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10105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Jeffrey Hughes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Telephone: 212 887-2744</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jeffrey.hughes@alliancebernstein.com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Notes are to be issued in the name of: AXA Equitable Life Insurance Company</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IRS Employer Identification Number: 13-557-0651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Delivery Instructions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 direct private placement purchases notes issued in the name of AXA Equitable Life Insurance Company</w:t>
      </w:r>
      <w:r>
        <w:rPr>
          <w:rFonts w:ascii="Arial" w:cs="Arial" w:eastAsia="Arial" w:hAnsi="Arial"/>
          <w:sz w:val="18"/>
          <w:szCs w:val="18"/>
          <w:b w:val="1"/>
          <w:bCs w:val="1"/>
          <w:i w:val="1"/>
          <w:iCs w:val="1"/>
          <w:color w:val="auto"/>
        </w:rPr>
        <w:t>:</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AXA Equitable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525 Washington Blvd., 34th Floor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Jersey City, New Jersey 07310</w:t>
      </w:r>
    </w:p>
    <w:p>
      <w:pPr>
        <w:spacing w:after="0" w:line="4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i w:val="1"/>
          <w:iCs w:val="1"/>
          <w:color w:val="auto"/>
        </w:rPr>
        <w:t>Attention:</w:t>
      </w:r>
      <w:r>
        <w:rPr>
          <w:sz w:val="20"/>
          <w:szCs w:val="20"/>
          <w:color w:val="auto"/>
        </w:rPr>
        <w:tab/>
      </w:r>
      <w:r>
        <w:rPr>
          <w:rFonts w:ascii="Arial" w:cs="Arial" w:eastAsia="Arial" w:hAnsi="Arial"/>
          <w:sz w:val="19"/>
          <w:szCs w:val="19"/>
          <w:i w:val="1"/>
          <w:iCs w:val="1"/>
          <w:color w:val="auto"/>
        </w:rPr>
        <w:t>Lynn Garofalo</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Telephone Number: (201) 743-6634</w:t>
      </w:r>
    </w:p>
    <w:p>
      <w:pPr>
        <w:sectPr>
          <w:pgSz w:w="11900" w:h="16838" w:orient="portrait"/>
          <w:cols w:equalWidth="0" w:num="1">
            <w:col w:w="10219"/>
          </w:cols>
          <w:pgMar w:left="240" w:top="923" w:right="1440" w:bottom="1440" w:gutter="0" w:footer="0" w:header="0"/>
        </w:sectPr>
      </w:pPr>
    </w:p>
    <w:bookmarkStart w:id="173" w:name="page174"/>
    <w:bookmarkEnd w:id="173"/>
    <w:p>
      <w:pPr>
        <w:spacing w:after="0" w:line="24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and Address of Purchaser</w:t>
      </w: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AXA EQUITABLE LIFE INSURANCE COMPANY</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525 Washington Blvd., 34th Floor</w:t>
      </w:r>
    </w:p>
    <w:p>
      <w:pPr>
        <w:ind w:left="40"/>
        <w:spacing w:after="0" w:line="230" w:lineRule="auto"/>
        <w:rPr>
          <w:sz w:val="20"/>
          <w:szCs w:val="20"/>
          <w:color w:val="auto"/>
        </w:rPr>
      </w:pPr>
      <w:r>
        <w:rPr>
          <w:rFonts w:ascii="Arial" w:cs="Arial" w:eastAsia="Arial" w:hAnsi="Arial"/>
          <w:sz w:val="22"/>
          <w:szCs w:val="22"/>
          <w:color w:val="auto"/>
        </w:rPr>
        <w:t>Jersey City, New Jersey 07310</w:t>
      </w:r>
    </w:p>
    <w:p>
      <w:pPr>
        <w:ind w:left="40"/>
        <w:spacing w:after="0" w:line="231" w:lineRule="auto"/>
        <w:rPr>
          <w:sz w:val="20"/>
          <w:szCs w:val="20"/>
          <w:color w:val="auto"/>
        </w:rPr>
      </w:pPr>
      <w:r>
        <w:rPr>
          <w:rFonts w:ascii="Arial" w:cs="Arial" w:eastAsia="Arial" w:hAnsi="Arial"/>
          <w:sz w:val="22"/>
          <w:szCs w:val="22"/>
          <w:color w:val="auto"/>
        </w:rPr>
        <w:t>Attention: Lynn Garofalo</w:t>
      </w:r>
    </w:p>
    <w:p>
      <w:pPr>
        <w:ind w:left="1060"/>
        <w:spacing w:after="0"/>
        <w:rPr>
          <w:sz w:val="20"/>
          <w:szCs w:val="20"/>
          <w:color w:val="auto"/>
        </w:rPr>
      </w:pPr>
      <w:r>
        <w:rPr>
          <w:rFonts w:ascii="Arial" w:cs="Arial" w:eastAsia="Arial" w:hAnsi="Arial"/>
          <w:sz w:val="22"/>
          <w:szCs w:val="22"/>
          <w:color w:val="auto"/>
        </w:rPr>
        <w:t>Telephone Number: (201) 743-6634</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Manner of Payments and Notices</w:t>
      </w:r>
      <w:r>
        <w:rPr>
          <w:rFonts w:ascii="Arial" w:cs="Arial" w:eastAsia="Arial" w:hAnsi="Arial"/>
          <w:sz w:val="22"/>
          <w:szCs w:val="22"/>
          <w:b w:val="1"/>
          <w:bCs w:val="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All payments shall be made by wire transfer of immediately available funds to:</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Chase Manhattan Bank, N.A.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Account (s): AXA Equitable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 Chase Metrotech Center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Brooklyn, New York 11245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No.: 021-000021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Bank Account: 037-2-413336</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Custody Account: G04657</w:t>
      </w:r>
    </w:p>
    <w:p>
      <w:pPr>
        <w:spacing w:after="0" w:line="20" w:lineRule="exact"/>
        <w:rPr>
          <w:sz w:val="20"/>
          <w:szCs w:val="20"/>
          <w:color w:val="auto"/>
        </w:rPr>
      </w:pPr>
      <w:r>
        <w:rPr>
          <w:sz w:val="20"/>
          <w:szCs w:val="20"/>
          <w:color w:val="auto"/>
        </w:rPr>
        <w:br w:type="column"/>
      </w:r>
    </w:p>
    <w:p>
      <w:pPr>
        <w:ind w:left="500" w:right="1060" w:hanging="173"/>
        <w:spacing w:after="0" w:line="328" w:lineRule="auto"/>
        <w:rPr>
          <w:sz w:val="20"/>
          <w:szCs w:val="20"/>
          <w:color w:val="auto"/>
        </w:rPr>
      </w:pPr>
      <w:r>
        <w:rPr>
          <w:rFonts w:ascii="Arial" w:cs="Arial" w:eastAsia="Arial" w:hAnsi="Arial"/>
          <w:sz w:val="19"/>
          <w:szCs w:val="19"/>
          <w:color w:val="auto"/>
        </w:rPr>
        <w:t>Principal Amount and Series of Notes to Be Purchased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00" w:type="dxa"/>
            <w:vAlign w:val="bottom"/>
          </w:tcPr>
          <w:p>
            <w:pPr>
              <w:spacing w:after="0"/>
              <w:rPr>
                <w:sz w:val="20"/>
                <w:szCs w:val="20"/>
                <w:color w:val="auto"/>
              </w:rPr>
            </w:pPr>
            <w:r>
              <w:rPr>
                <w:rFonts w:ascii="Arial" w:cs="Arial" w:eastAsia="Arial" w:hAnsi="Arial"/>
                <w:sz w:val="22"/>
                <w:szCs w:val="22"/>
                <w:color w:val="auto"/>
              </w:rPr>
              <w:t>Series B</w:t>
            </w:r>
          </w:p>
        </w:tc>
        <w:tc>
          <w:tcPr>
            <w:tcW w:w="2100" w:type="dxa"/>
            <w:vAlign w:val="bottom"/>
          </w:tcPr>
          <w:p>
            <w:pPr>
              <w:ind w:left="580"/>
              <w:spacing w:after="0"/>
              <w:rPr>
                <w:sz w:val="20"/>
                <w:szCs w:val="20"/>
                <w:color w:val="auto"/>
              </w:rPr>
            </w:pPr>
            <w:r>
              <w:rPr>
                <w:rFonts w:ascii="Arial" w:cs="Arial" w:eastAsia="Arial" w:hAnsi="Arial"/>
                <w:sz w:val="22"/>
                <w:szCs w:val="22"/>
                <w:color w:val="auto"/>
                <w:w w:val="87"/>
              </w:rPr>
              <w:t>U.S. $10,000,000</w:t>
            </w:r>
          </w:p>
        </w:tc>
      </w:tr>
    </w:tbl>
    <w:p>
      <w:pPr>
        <w:spacing w:after="0" w:line="4581" w:lineRule="exact"/>
        <w:rPr>
          <w:sz w:val="20"/>
          <w:szCs w:val="20"/>
          <w:color w:val="auto"/>
        </w:rPr>
      </w:pPr>
    </w:p>
    <w:p>
      <w:pPr>
        <w:sectPr>
          <w:pgSz w:w="11900" w:h="16838" w:orient="portrait"/>
          <w:cols w:equalWidth="0" w:num="2">
            <w:col w:w="6840" w:space="700"/>
            <w:col w:w="3880"/>
          </w:cols>
          <w:pgMar w:left="240" w:top="1293" w:right="239" w:bottom="1440" w:gutter="0" w:footer="0" w:header="0"/>
        </w:sectPr>
      </w:pPr>
    </w:p>
    <w:p>
      <w:pPr>
        <w:spacing w:after="0" w:line="87"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Each such wire shall show the name of the Company, the Private Placement Number, the due date of the payment being made and, if such payment is a final payment.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Notices of Payments and Written Confirmations</w:t>
      </w:r>
      <w:r>
        <w:rPr>
          <w:rFonts w:ascii="Arial" w:cs="Arial" w:eastAsia="Arial" w:hAnsi="Arial"/>
          <w:sz w:val="22"/>
          <w:szCs w:val="22"/>
          <w:b w:val="1"/>
          <w:bCs w:val="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All notices of payments and written confirmations of wire transfers should be sent to:</w:t>
      </w:r>
    </w:p>
    <w:p>
      <w:pPr>
        <w:spacing w:after="0" w:line="287"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AXA Equitable Life Insurance Company</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C/O AllianceBernstein LP</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1345 Avenue of the America</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37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New York, New York 10105</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Attention: Cosmo Valente / Mike Maher / Mei Wong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Telephone: 212/969-6384 / 212-823-2873 / 212-969-2112</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Email:  cosmo.valente@alliancebernstein.com</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mike.maher@alliancebernstein.com</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mei.wong@alliancebernstein.com</w:t>
      </w:r>
    </w:p>
    <w:p>
      <w:pPr>
        <w:sectPr>
          <w:pgSz w:w="11900" w:h="16838" w:orient="portrait"/>
          <w:cols w:equalWidth="0" w:num="1">
            <w:col w:w="11420"/>
          </w:cols>
          <w:pgMar w:left="240" w:top="1293" w:right="239" w:bottom="1440" w:gutter="0" w:footer="0" w:header="0"/>
          <w:type w:val="continuous"/>
        </w:sectPr>
      </w:pPr>
    </w:p>
    <w:bookmarkStart w:id="174" w:name="page175"/>
    <w:bookmarkEnd w:id="174"/>
    <w:p>
      <w:pPr>
        <w:spacing w:after="0"/>
        <w:rPr>
          <w:sz w:val="20"/>
          <w:szCs w:val="20"/>
          <w:color w:val="auto"/>
        </w:rPr>
      </w:pPr>
      <w:r>
        <w:rPr>
          <w:rFonts w:ascii="Arial" w:cs="Arial" w:eastAsia="Arial" w:hAnsi="Arial"/>
          <w:sz w:val="22"/>
          <w:szCs w:val="22"/>
          <w:b w:val="1"/>
          <w:bCs w:val="1"/>
          <w:u w:val="single" w:color="auto"/>
          <w:color w:val="auto"/>
        </w:rPr>
        <w:t>Address for all other communications</w:t>
      </w:r>
      <w:r>
        <w:rPr>
          <w:rFonts w:ascii="Arial" w:cs="Arial" w:eastAsia="Arial" w:hAnsi="Arial"/>
          <w:sz w:val="22"/>
          <w:szCs w:val="22"/>
          <w:b w:val="1"/>
          <w:bCs w:val="1"/>
          <w:color w:val="auto"/>
        </w:rPr>
        <w: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AXA Equitable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AllianceBernstein LP</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1345 Avenue of the Americas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37th Floor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10105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Jeffrey Hughes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Telephone: 212 887-2744</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jeffrey.hughes@alliancebernstein.com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Notes are to be issued in the name of: AXA Equitable Life Insurance Company</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IRS Employer Identification Number: 13-557-0651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Delivery Instructions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 direct private placement purchases notes issued in the name of AXA Equitable Life Insurance Company</w:t>
      </w:r>
      <w:r>
        <w:rPr>
          <w:rFonts w:ascii="Arial" w:cs="Arial" w:eastAsia="Arial" w:hAnsi="Arial"/>
          <w:sz w:val="18"/>
          <w:szCs w:val="18"/>
          <w:b w:val="1"/>
          <w:bCs w:val="1"/>
          <w:i w:val="1"/>
          <w:iCs w:val="1"/>
          <w:color w:val="auto"/>
        </w:rPr>
        <w:t>:</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AXA Equitable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525 Washington Blvd., 34th Floor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Jersey City, New Jersey 07310</w:t>
      </w:r>
    </w:p>
    <w:p>
      <w:pPr>
        <w:spacing w:after="0" w:line="4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i w:val="1"/>
          <w:iCs w:val="1"/>
          <w:color w:val="auto"/>
        </w:rPr>
        <w:t>Attention:</w:t>
      </w:r>
      <w:r>
        <w:rPr>
          <w:sz w:val="20"/>
          <w:szCs w:val="20"/>
          <w:color w:val="auto"/>
        </w:rPr>
        <w:tab/>
      </w:r>
      <w:r>
        <w:rPr>
          <w:rFonts w:ascii="Arial" w:cs="Arial" w:eastAsia="Arial" w:hAnsi="Arial"/>
          <w:sz w:val="19"/>
          <w:szCs w:val="19"/>
          <w:i w:val="1"/>
          <w:iCs w:val="1"/>
          <w:color w:val="auto"/>
        </w:rPr>
        <w:t>Lynn Garofalo</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Telephone Number: (201) 743-6634</w:t>
      </w:r>
    </w:p>
    <w:p>
      <w:pPr>
        <w:sectPr>
          <w:pgSz w:w="11900" w:h="16838" w:orient="portrait"/>
          <w:cols w:equalWidth="0" w:num="1">
            <w:col w:w="10219"/>
          </w:cols>
          <w:pgMar w:left="240" w:top="923" w:right="1440" w:bottom="1440" w:gutter="0" w:footer="0" w:header="0"/>
        </w:sectPr>
      </w:pPr>
    </w:p>
    <w:bookmarkStart w:id="175" w:name="page176"/>
    <w:bookmarkEnd w:id="175"/>
    <w:p>
      <w:pPr>
        <w:spacing w:after="0" w:line="24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Name and Address of Purchaser</w:t>
      </w:r>
    </w:p>
    <w:p>
      <w:pPr>
        <w:spacing w:after="0" w:line="316" w:lineRule="exact"/>
        <w:rPr>
          <w:sz w:val="20"/>
          <w:szCs w:val="20"/>
          <w:color w:val="auto"/>
        </w:rPr>
      </w:pPr>
    </w:p>
    <w:p>
      <w:pPr>
        <w:ind w:left="80" w:right="1920" w:hanging="53"/>
        <w:spacing w:after="0" w:line="242" w:lineRule="auto"/>
        <w:rPr>
          <w:sz w:val="20"/>
          <w:szCs w:val="20"/>
          <w:color w:val="auto"/>
        </w:rPr>
      </w:pPr>
      <w:r>
        <w:rPr>
          <w:rFonts w:ascii="Arial" w:cs="Arial" w:eastAsia="Arial" w:hAnsi="Arial"/>
          <w:sz w:val="22"/>
          <w:szCs w:val="22"/>
          <w:b w:val="1"/>
          <w:bCs w:val="1"/>
          <w:color w:val="auto"/>
        </w:rPr>
        <w:t>MASSACHUSETTS MUTUAL LIFE INSURANCE COMPANY</w:t>
      </w:r>
    </w:p>
    <w:p>
      <w:pPr>
        <w:ind w:left="40"/>
        <w:spacing w:after="0" w:line="230" w:lineRule="auto"/>
        <w:rPr>
          <w:sz w:val="20"/>
          <w:szCs w:val="20"/>
          <w:color w:val="auto"/>
        </w:rPr>
      </w:pPr>
      <w:r>
        <w:rPr>
          <w:rFonts w:ascii="Arial" w:cs="Arial" w:eastAsia="Arial" w:hAnsi="Arial"/>
          <w:sz w:val="22"/>
          <w:szCs w:val="22"/>
          <w:color w:val="auto"/>
        </w:rPr>
        <w:t>c/o Babson Capital Management LLC</w:t>
      </w:r>
    </w:p>
    <w:p>
      <w:pPr>
        <w:ind w:left="40"/>
        <w:spacing w:after="0" w:line="231" w:lineRule="auto"/>
        <w:rPr>
          <w:sz w:val="20"/>
          <w:szCs w:val="20"/>
          <w:color w:val="auto"/>
        </w:rPr>
      </w:pPr>
      <w:r>
        <w:rPr>
          <w:rFonts w:ascii="Arial" w:cs="Arial" w:eastAsia="Arial" w:hAnsi="Arial"/>
          <w:sz w:val="22"/>
          <w:szCs w:val="22"/>
          <w:color w:val="auto"/>
        </w:rPr>
        <w:t>1500 Main Street - Suite 2200</w:t>
      </w:r>
    </w:p>
    <w:p>
      <w:pPr>
        <w:ind w:left="40"/>
        <w:spacing w:after="0" w:line="230" w:lineRule="auto"/>
        <w:rPr>
          <w:sz w:val="20"/>
          <w:szCs w:val="20"/>
          <w:color w:val="auto"/>
        </w:rPr>
      </w:pPr>
      <w:r>
        <w:rPr>
          <w:rFonts w:ascii="Arial" w:cs="Arial" w:eastAsia="Arial" w:hAnsi="Arial"/>
          <w:sz w:val="22"/>
          <w:szCs w:val="22"/>
          <w:color w:val="auto"/>
        </w:rPr>
        <w:t>P.O. Box 15189</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Springfield, MA 01115-5189</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Payments</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22"/>
          <w:szCs w:val="22"/>
          <w:color w:val="auto"/>
        </w:rPr>
        <w:t>Principal Amount and Series</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of Notes to Be Purchased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spacing w:after="0"/>
              <w:rPr>
                <w:sz w:val="20"/>
                <w:szCs w:val="20"/>
                <w:color w:val="auto"/>
              </w:rPr>
            </w:pPr>
            <w:r>
              <w:rPr>
                <w:rFonts w:ascii="Arial" w:cs="Arial" w:eastAsia="Arial" w:hAnsi="Arial"/>
                <w:sz w:val="22"/>
                <w:szCs w:val="22"/>
                <w:color w:val="auto"/>
              </w:rPr>
              <w:t>Series B</w:t>
            </w:r>
          </w:p>
        </w:tc>
        <w:tc>
          <w:tcPr>
            <w:tcW w:w="2120" w:type="dxa"/>
            <w:vAlign w:val="bottom"/>
          </w:tcPr>
          <w:p>
            <w:pPr>
              <w:ind w:left="560"/>
              <w:spacing w:after="0"/>
              <w:rPr>
                <w:sz w:val="20"/>
                <w:szCs w:val="20"/>
                <w:color w:val="auto"/>
              </w:rPr>
            </w:pPr>
            <w:r>
              <w:rPr>
                <w:rFonts w:ascii="Arial" w:cs="Arial" w:eastAsia="Arial" w:hAnsi="Arial"/>
                <w:sz w:val="22"/>
                <w:szCs w:val="22"/>
                <w:color w:val="auto"/>
                <w:w w:val="89"/>
              </w:rPr>
              <w:t>U.S. $26,650,000</w:t>
            </w:r>
          </w:p>
        </w:tc>
      </w:tr>
      <w:tr>
        <w:trPr>
          <w:trHeight w:val="275"/>
        </w:trPr>
        <w:tc>
          <w:tcPr>
            <w:tcW w:w="1320" w:type="dxa"/>
            <w:vAlign w:val="bottom"/>
          </w:tcPr>
          <w:p>
            <w:pPr>
              <w:ind w:left="40"/>
              <w:spacing w:after="0"/>
              <w:rPr>
                <w:sz w:val="20"/>
                <w:szCs w:val="20"/>
                <w:color w:val="auto"/>
              </w:rPr>
            </w:pPr>
            <w:r>
              <w:rPr>
                <w:rFonts w:ascii="Arial" w:cs="Arial" w:eastAsia="Arial" w:hAnsi="Arial"/>
                <w:sz w:val="22"/>
                <w:szCs w:val="22"/>
                <w:color w:val="auto"/>
              </w:rPr>
              <w:t>Series C</w:t>
            </w:r>
          </w:p>
        </w:tc>
        <w:tc>
          <w:tcPr>
            <w:tcW w:w="2120" w:type="dxa"/>
            <w:vAlign w:val="bottom"/>
          </w:tcPr>
          <w:p>
            <w:pPr>
              <w:ind w:left="600"/>
              <w:spacing w:after="0"/>
              <w:rPr>
                <w:sz w:val="20"/>
                <w:szCs w:val="20"/>
                <w:color w:val="auto"/>
              </w:rPr>
            </w:pPr>
            <w:r>
              <w:rPr>
                <w:rFonts w:ascii="Arial" w:cs="Arial" w:eastAsia="Arial" w:hAnsi="Arial"/>
                <w:sz w:val="22"/>
                <w:szCs w:val="22"/>
                <w:color w:val="auto"/>
                <w:w w:val="87"/>
              </w:rPr>
              <w:t>U.S. $32,200,000</w:t>
            </w:r>
          </w:p>
        </w:tc>
      </w:tr>
    </w:tbl>
    <w:p>
      <w:pPr>
        <w:spacing w:after="0" w:line="1562" w:lineRule="exact"/>
        <w:rPr>
          <w:sz w:val="20"/>
          <w:szCs w:val="20"/>
          <w:color w:val="auto"/>
        </w:rPr>
      </w:pPr>
    </w:p>
    <w:p>
      <w:pPr>
        <w:sectPr>
          <w:pgSz w:w="11900" w:h="16838" w:orient="portrait"/>
          <w:cols w:equalWidth="0" w:num="2">
            <w:col w:w="6780" w:space="720"/>
            <w:col w:w="3920"/>
          </w:cols>
          <w:pgMar w:left="240" w:top="1334" w:right="239" w:bottom="1440" w:gutter="0" w:footer="0" w:header="0"/>
        </w:sectPr>
      </w:pPr>
    </w:p>
    <w:p>
      <w:pPr>
        <w:jc w:val="both"/>
        <w:spacing w:after="0" w:line="288" w:lineRule="auto"/>
        <w:rPr>
          <w:sz w:val="20"/>
          <w:szCs w:val="20"/>
          <w:color w:val="auto"/>
        </w:rPr>
      </w:pPr>
      <w:r>
        <w:rPr>
          <w:rFonts w:ascii="Arial" w:cs="Arial" w:eastAsia="Arial" w:hAnsi="Arial"/>
          <w:sz w:val="22"/>
          <w:szCs w:val="22"/>
          <w:color w:val="auto"/>
        </w:rPr>
        <w:t>All payments on account of the Note shall be made by crediting in the form of bank wire transfer of Federal or other immediately available funds, (identifying each payment as American Assets Trust, L.P., 4.45% Senior Guaranteed Notes, Series B, due February 2, 2025, PPN 02401@ AB5 and 4.50% Senior Guaranteed Notes, Series C, PPN 02401@ AC3, principal, premium or interest), to:</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MassMutual Co-Owned Account</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Citibank</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 021000089</w:t>
      </w:r>
    </w:p>
    <w:p>
      <w:pPr>
        <w:spacing w:after="0" w:line="44"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Acct #</w:t>
      </w:r>
      <w:r>
        <w:rPr>
          <w:sz w:val="20"/>
          <w:szCs w:val="20"/>
          <w:color w:val="auto"/>
        </w:rPr>
        <w:tab/>
      </w:r>
      <w:r>
        <w:rPr>
          <w:rFonts w:ascii="Arial" w:cs="Arial" w:eastAsia="Arial" w:hAnsi="Arial"/>
          <w:sz w:val="19"/>
          <w:szCs w:val="19"/>
          <w:color w:val="auto"/>
        </w:rPr>
        <w:t>30510685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Description of security, cusip, principal and interest split</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With advice of payment to the Treasury Operations Liquidity Management Department at Massachusetts Mutual Life Insurance Company at mmincometeam@massmutual.com or (413) 226-4295 (facsimile).</w:t>
      </w:r>
    </w:p>
    <w:p>
      <w:pPr>
        <w:sectPr>
          <w:pgSz w:w="11900" w:h="16838" w:orient="portrait"/>
          <w:cols w:equalWidth="0" w:num="1">
            <w:col w:w="11420"/>
          </w:cols>
          <w:pgMar w:left="240" w:top="1334" w:right="239" w:bottom="1440" w:gutter="0" w:footer="0" w:header="0"/>
          <w:type w:val="continuous"/>
        </w:sectPr>
      </w:pPr>
    </w:p>
    <w:bookmarkStart w:id="176" w:name="page177"/>
    <w:bookmarkEnd w:id="176"/>
    <w:tbl>
      <w:tblPr>
        <w:tblLayout w:type="fixed"/>
        <w:tblInd w:w="40" w:type="dxa"/>
        <w:tblCellMar>
          <w:top w:w="0" w:type="dxa"/>
          <w:left w:w="0" w:type="dxa"/>
          <w:bottom w:w="0" w:type="dxa"/>
          <w:right w:w="0" w:type="dxa"/>
        </w:tblCellMar>
      </w:tblPr>
      <w:tr>
        <w:trPr>
          <w:trHeight w:val="253"/>
        </w:trPr>
        <w:tc>
          <w:tcPr>
            <w:tcW w:w="5280" w:type="dxa"/>
            <w:vAlign w:val="bottom"/>
            <w:gridSpan w:val="2"/>
          </w:tcPr>
          <w:p>
            <w:pPr>
              <w:spacing w:after="0"/>
              <w:rPr>
                <w:sz w:val="20"/>
                <w:szCs w:val="20"/>
                <w:color w:val="auto"/>
              </w:rPr>
            </w:pPr>
            <w:r>
              <w:rPr>
                <w:rFonts w:ascii="Arial" w:cs="Arial" w:eastAsia="Arial" w:hAnsi="Arial"/>
                <w:sz w:val="22"/>
                <w:szCs w:val="22"/>
                <w:b w:val="1"/>
                <w:bCs w:val="1"/>
                <w:color w:val="auto"/>
              </w:rPr>
              <w:t>Notices</w:t>
            </w:r>
          </w:p>
        </w:tc>
        <w:tc>
          <w:tcPr>
            <w:tcW w:w="4960" w:type="dxa"/>
            <w:vAlign w:val="bottom"/>
            <w:vMerge w:val="restart"/>
          </w:tcPr>
          <w:p>
            <w:pPr>
              <w:ind w:left="840"/>
              <w:spacing w:after="0"/>
              <w:rPr>
                <w:sz w:val="20"/>
                <w:szCs w:val="20"/>
                <w:color w:val="auto"/>
              </w:rPr>
            </w:pPr>
            <w:r>
              <w:rPr>
                <w:rFonts w:ascii="Arial" w:cs="Arial" w:eastAsia="Arial" w:hAnsi="Arial"/>
                <w:sz w:val="22"/>
                <w:szCs w:val="22"/>
                <w:b w:val="1"/>
                <w:bCs w:val="1"/>
                <w:color w:val="auto"/>
              </w:rPr>
              <w:t>Send Notices on Payments to</w:t>
            </w:r>
          </w:p>
        </w:tc>
        <w:tc>
          <w:tcPr>
            <w:tcW w:w="0" w:type="dxa"/>
            <w:vAlign w:val="bottom"/>
          </w:tcPr>
          <w:p>
            <w:pPr>
              <w:spacing w:after="0"/>
              <w:rPr>
                <w:sz w:val="1"/>
                <w:szCs w:val="1"/>
                <w:color w:val="auto"/>
              </w:rPr>
            </w:pPr>
          </w:p>
        </w:tc>
      </w:tr>
      <w:tr>
        <w:trPr>
          <w:trHeight w:val="242"/>
        </w:trPr>
        <w:tc>
          <w:tcPr>
            <w:tcW w:w="66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w w:val="72"/>
              </w:rPr>
              <w:t>Send</w:t>
            </w:r>
          </w:p>
        </w:tc>
        <w:tc>
          <w:tcPr>
            <w:tcW w:w="4620" w:type="dxa"/>
            <w:vAlign w:val="bottom"/>
          </w:tcPr>
          <w:p>
            <w:pPr>
              <w:ind w:left="160"/>
              <w:spacing w:after="0" w:line="242" w:lineRule="exact"/>
              <w:rPr>
                <w:sz w:val="20"/>
                <w:szCs w:val="20"/>
                <w:color w:val="auto"/>
              </w:rPr>
            </w:pPr>
            <w:r>
              <w:rPr>
                <w:rFonts w:ascii="Arial" w:cs="Arial" w:eastAsia="Arial" w:hAnsi="Arial"/>
                <w:sz w:val="22"/>
                <w:szCs w:val="22"/>
                <w:b w:val="1"/>
                <w:bCs w:val="1"/>
                <w:color w:val="auto"/>
              </w:rPr>
              <w:t>Communications and Notices to</w:t>
            </w:r>
          </w:p>
        </w:tc>
        <w:tc>
          <w:tcPr>
            <w:tcW w:w="4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Massachusetts Mutual Life Insurance Company</w:t>
            </w:r>
          </w:p>
        </w:tc>
        <w:tc>
          <w:tcPr>
            <w:tcW w:w="4960" w:type="dxa"/>
            <w:vAlign w:val="bottom"/>
          </w:tcPr>
          <w:p>
            <w:pPr>
              <w:ind w:left="840"/>
              <w:spacing w:after="0" w:line="243" w:lineRule="exact"/>
              <w:rPr>
                <w:sz w:val="20"/>
                <w:szCs w:val="20"/>
                <w:color w:val="auto"/>
              </w:rPr>
            </w:pPr>
            <w:r>
              <w:rPr>
                <w:rFonts w:ascii="Arial" w:cs="Arial" w:eastAsia="Arial" w:hAnsi="Arial"/>
                <w:sz w:val="22"/>
                <w:szCs w:val="22"/>
                <w:color w:val="auto"/>
                <w:w w:val="88"/>
              </w:rPr>
              <w:t>Massachusetts Mutual Life Insurance Company</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c/o Babson Capital Management LLC</w:t>
            </w:r>
          </w:p>
        </w:tc>
        <w:tc>
          <w:tcPr>
            <w:tcW w:w="4960" w:type="dxa"/>
            <w:vAlign w:val="bottom"/>
          </w:tcPr>
          <w:p>
            <w:pPr>
              <w:ind w:left="840"/>
              <w:spacing w:after="0" w:line="243" w:lineRule="exact"/>
              <w:rPr>
                <w:sz w:val="20"/>
                <w:szCs w:val="20"/>
                <w:color w:val="auto"/>
              </w:rPr>
            </w:pPr>
            <w:r>
              <w:rPr>
                <w:rFonts w:ascii="Arial" w:cs="Arial" w:eastAsia="Arial" w:hAnsi="Arial"/>
                <w:sz w:val="22"/>
                <w:szCs w:val="22"/>
                <w:color w:val="auto"/>
                <w:w w:val="97"/>
              </w:rPr>
              <w:t>Treasury Operations Liquidity Management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1500 Main Street – Suite 2200</w:t>
            </w:r>
          </w:p>
        </w:tc>
        <w:tc>
          <w:tcPr>
            <w:tcW w:w="4960" w:type="dxa"/>
            <w:vAlign w:val="bottom"/>
          </w:tcPr>
          <w:p>
            <w:pPr>
              <w:ind w:left="840"/>
              <w:spacing w:after="0" w:line="243" w:lineRule="exact"/>
              <w:rPr>
                <w:sz w:val="20"/>
                <w:szCs w:val="20"/>
                <w:color w:val="auto"/>
              </w:rPr>
            </w:pPr>
            <w:r>
              <w:rPr>
                <w:rFonts w:ascii="Arial" w:cs="Arial" w:eastAsia="Arial" w:hAnsi="Arial"/>
                <w:sz w:val="22"/>
                <w:szCs w:val="22"/>
                <w:color w:val="auto"/>
              </w:rPr>
              <w:t>1295 State Street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PO Box 15189</w:t>
            </w:r>
          </w:p>
        </w:tc>
        <w:tc>
          <w:tcPr>
            <w:tcW w:w="4960" w:type="dxa"/>
            <w:vAlign w:val="bottom"/>
          </w:tcPr>
          <w:p>
            <w:pPr>
              <w:ind w:left="840"/>
              <w:spacing w:after="0" w:line="243" w:lineRule="exact"/>
              <w:rPr>
                <w:sz w:val="20"/>
                <w:szCs w:val="20"/>
                <w:color w:val="auto"/>
              </w:rPr>
            </w:pPr>
            <w:r>
              <w:rPr>
                <w:rFonts w:ascii="Arial" w:cs="Arial" w:eastAsia="Arial" w:hAnsi="Arial"/>
                <w:sz w:val="22"/>
                <w:szCs w:val="22"/>
                <w:color w:val="auto"/>
              </w:rPr>
              <w:t>Springfield, MA 01111</w:t>
            </w:r>
          </w:p>
        </w:tc>
        <w:tc>
          <w:tcPr>
            <w:tcW w:w="0" w:type="dxa"/>
            <w:vAlign w:val="bottom"/>
          </w:tcPr>
          <w:p>
            <w:pPr>
              <w:spacing w:after="0"/>
              <w:rPr>
                <w:sz w:val="1"/>
                <w:szCs w:val="1"/>
                <w:color w:val="auto"/>
              </w:rPr>
            </w:pPr>
          </w:p>
        </w:tc>
      </w:tr>
      <w:tr>
        <w:trPr>
          <w:trHeight w:val="275"/>
        </w:trPr>
        <w:tc>
          <w:tcPr>
            <w:tcW w:w="5280" w:type="dxa"/>
            <w:vAlign w:val="bottom"/>
            <w:gridSpan w:val="2"/>
          </w:tcPr>
          <w:p>
            <w:pPr>
              <w:ind w:left="320"/>
              <w:spacing w:after="0"/>
              <w:rPr>
                <w:sz w:val="20"/>
                <w:szCs w:val="20"/>
                <w:color w:val="auto"/>
              </w:rPr>
            </w:pPr>
            <w:r>
              <w:rPr>
                <w:rFonts w:ascii="Arial" w:cs="Arial" w:eastAsia="Arial" w:hAnsi="Arial"/>
                <w:sz w:val="22"/>
                <w:szCs w:val="22"/>
                <w:color w:val="auto"/>
              </w:rPr>
              <w:t>Springfield, MA 01115-5189</w:t>
            </w:r>
          </w:p>
        </w:tc>
        <w:tc>
          <w:tcPr>
            <w:tcW w:w="4960" w:type="dxa"/>
            <w:vAlign w:val="bottom"/>
          </w:tcPr>
          <w:p>
            <w:pPr>
              <w:ind w:left="840"/>
              <w:spacing w:after="0"/>
              <w:rPr>
                <w:sz w:val="20"/>
                <w:szCs w:val="20"/>
                <w:color w:val="auto"/>
              </w:rPr>
            </w:pPr>
            <w:r>
              <w:rPr>
                <w:rFonts w:ascii="Arial" w:cs="Arial" w:eastAsia="Arial" w:hAnsi="Arial"/>
                <w:sz w:val="22"/>
                <w:szCs w:val="22"/>
                <w:color w:val="auto"/>
              </w:rPr>
              <w:t>Attn: Janelle Tarantino</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340"/>
          </w:cols>
          <w:pgMar w:left="240" w:top="791" w:right="1319" w:bottom="1440" w:gutter="0" w:footer="0" w:header="0"/>
        </w:sectPr>
      </w:pPr>
    </w:p>
    <w:p>
      <w:pPr>
        <w:spacing w:after="0" w:line="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Electronic Delivery of Financials and other information to:</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Massachusetts Mutual Life Insurance Company</w:t>
      </w:r>
    </w:p>
    <w:p>
      <w:pPr>
        <w:ind w:left="360"/>
        <w:spacing w:after="0" w:line="230" w:lineRule="auto"/>
        <w:rPr>
          <w:sz w:val="20"/>
          <w:szCs w:val="20"/>
          <w:color w:val="auto"/>
        </w:rPr>
      </w:pPr>
      <w:r>
        <w:rPr>
          <w:rFonts w:ascii="Arial" w:cs="Arial" w:eastAsia="Arial" w:hAnsi="Arial"/>
          <w:sz w:val="22"/>
          <w:szCs w:val="22"/>
          <w:color w:val="auto"/>
        </w:rPr>
        <w:t>c/o Babson Capital Management LLC</w:t>
      </w:r>
    </w:p>
    <w:p>
      <w:pPr>
        <w:ind w:left="360"/>
        <w:spacing w:after="0" w:line="231" w:lineRule="auto"/>
        <w:rPr>
          <w:sz w:val="20"/>
          <w:szCs w:val="20"/>
          <w:color w:val="auto"/>
        </w:rPr>
      </w:pPr>
      <w:r>
        <w:rPr>
          <w:rFonts w:ascii="Arial" w:cs="Arial" w:eastAsia="Arial" w:hAnsi="Arial"/>
          <w:sz w:val="22"/>
          <w:szCs w:val="22"/>
          <w:color w:val="auto"/>
        </w:rPr>
        <w:t>1500 Main Street – Suite 2200</w:t>
      </w:r>
    </w:p>
    <w:p>
      <w:pPr>
        <w:ind w:left="360"/>
        <w:spacing w:after="0" w:line="230" w:lineRule="auto"/>
        <w:rPr>
          <w:sz w:val="20"/>
          <w:szCs w:val="20"/>
          <w:color w:val="auto"/>
        </w:rPr>
      </w:pPr>
      <w:r>
        <w:rPr>
          <w:rFonts w:ascii="Arial" w:cs="Arial" w:eastAsia="Arial" w:hAnsi="Arial"/>
          <w:sz w:val="22"/>
          <w:szCs w:val="22"/>
          <w:color w:val="auto"/>
        </w:rPr>
        <w:t>PO Box 15189</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Springfield, MA 01115-5189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With a copy to:</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Massachusetts Mutual Life Insurance Company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 Babson Capital Management LLC</w:t>
      </w:r>
    </w:p>
    <w:p>
      <w:pPr>
        <w:spacing w:after="0" w:line="230" w:lineRule="auto"/>
        <w:rPr>
          <w:sz w:val="20"/>
          <w:szCs w:val="20"/>
          <w:color w:val="auto"/>
        </w:rPr>
      </w:pPr>
      <w:r>
        <w:rPr>
          <w:rFonts w:ascii="Arial" w:cs="Arial" w:eastAsia="Arial" w:hAnsi="Arial"/>
          <w:sz w:val="22"/>
          <w:szCs w:val="22"/>
          <w:color w:val="auto"/>
        </w:rPr>
        <w:t>1500 Main Street – Suite 2200</w:t>
      </w:r>
    </w:p>
    <w:p>
      <w:pPr>
        <w:spacing w:after="0" w:line="231" w:lineRule="auto"/>
        <w:rPr>
          <w:sz w:val="20"/>
          <w:szCs w:val="20"/>
          <w:color w:val="auto"/>
        </w:rPr>
      </w:pPr>
      <w:r>
        <w:rPr>
          <w:rFonts w:ascii="Arial" w:cs="Arial" w:eastAsia="Arial" w:hAnsi="Arial"/>
          <w:sz w:val="22"/>
          <w:szCs w:val="22"/>
          <w:color w:val="auto"/>
        </w:rPr>
        <w:t>PO Box 15189</w:t>
      </w:r>
    </w:p>
    <w:p>
      <w:pPr>
        <w:spacing w:after="0"/>
        <w:rPr>
          <w:sz w:val="20"/>
          <w:szCs w:val="20"/>
          <w:color w:val="auto"/>
        </w:rPr>
      </w:pPr>
      <w:r>
        <w:rPr>
          <w:rFonts w:ascii="Arial" w:cs="Arial" w:eastAsia="Arial" w:hAnsi="Arial"/>
          <w:sz w:val="22"/>
          <w:szCs w:val="22"/>
          <w:color w:val="auto"/>
        </w:rPr>
        <w:t>Springfield, MA 01115</w:t>
      </w:r>
    </w:p>
    <w:p>
      <w:pPr>
        <w:spacing w:after="0" w:line="200" w:lineRule="exact"/>
        <w:rPr>
          <w:sz w:val="20"/>
          <w:szCs w:val="20"/>
          <w:color w:val="auto"/>
        </w:rPr>
      </w:pPr>
    </w:p>
    <w:p>
      <w:pPr>
        <w:sectPr>
          <w:pgSz w:w="11900" w:h="16838" w:orient="portrait"/>
          <w:cols w:equalWidth="0" w:num="2">
            <w:col w:w="5780" w:space="380"/>
            <w:col w:w="4180"/>
          </w:cols>
          <w:pgMar w:left="240" w:top="791" w:right="1319" w:bottom="1440" w:gutter="0" w:footer="0" w:header="0"/>
          <w:type w:val="continuous"/>
        </w:sectPr>
      </w:pPr>
    </w:p>
    <w:p>
      <w:pPr>
        <w:spacing w:after="0" w:line="25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With notification to:</w:t>
      </w:r>
    </w:p>
    <w:p>
      <w:pPr>
        <w:spacing w:after="0" w:line="4" w:lineRule="exact"/>
        <w:rPr>
          <w:sz w:val="20"/>
          <w:szCs w:val="20"/>
          <w:color w:val="auto"/>
        </w:rPr>
      </w:pPr>
    </w:p>
    <w:p>
      <w:pPr>
        <w:ind w:left="700" w:hanging="341"/>
        <w:spacing w:after="0"/>
        <w:tabs>
          <w:tab w:leader="none" w:pos="70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privateplacements@babsoncapital.com</w:t>
      </w:r>
    </w:p>
    <w:p>
      <w:pPr>
        <w:ind w:left="700" w:hanging="341"/>
        <w:spacing w:after="0"/>
        <w:tabs>
          <w:tab w:leader="none" w:pos="7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mackerman@babsoncapital.com</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Tax Identification No</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04-1590850 (MassMutual)</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DTTP No.: 13/M/63867/DTTP</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Registration of Securities</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All securities should be registered to </w:t>
      </w:r>
      <w:r>
        <w:rPr>
          <w:rFonts w:ascii="Arial" w:cs="Arial" w:eastAsia="Arial" w:hAnsi="Arial"/>
          <w:sz w:val="19"/>
          <w:szCs w:val="19"/>
          <w:b w:val="1"/>
          <w:bCs w:val="1"/>
          <w:color w:val="auto"/>
        </w:rPr>
        <w:t>Massachusetts Mutual Life Insurance Company</w:t>
      </w:r>
      <w:r>
        <w:rPr>
          <w:rFonts w:ascii="Arial" w:cs="Arial" w:eastAsia="Arial" w:hAnsi="Arial"/>
          <w:sz w:val="19"/>
          <w:szCs w:val="19"/>
          <w:color w:val="auto"/>
        </w:rPr>
        <w:t xml:space="preserve"> and sent via overnight mail to:</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Peter Mugo, Counsel</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Babson Capital Management LLC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1500 Main Street, Suite 2800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Springfield, MA 01115-5189</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Telephone: 413-226-0632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Facsimile: 413-226-3632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E-mail: pmugo@babsoncapital.com</w:t>
      </w:r>
    </w:p>
    <w:p>
      <w:pPr>
        <w:sectPr>
          <w:pgSz w:w="11900" w:h="16838" w:orient="portrait"/>
          <w:cols w:equalWidth="0" w:num="1">
            <w:col w:w="10340"/>
          </w:cols>
          <w:pgMar w:left="240" w:top="791" w:right="1319" w:bottom="1440" w:gutter="0" w:footer="0" w:header="0"/>
          <w:type w:val="continuous"/>
        </w:sectPr>
      </w:pPr>
    </w:p>
    <w:bookmarkStart w:id="177" w:name="page178"/>
    <w:bookmarkEnd w:id="177"/>
    <w:p>
      <w:pPr>
        <w:spacing w:after="0" w:line="200" w:lineRule="exact"/>
        <w:rPr>
          <w:sz w:val="20"/>
          <w:szCs w:val="20"/>
          <w:color w:val="auto"/>
        </w:rPr>
      </w:pPr>
    </w:p>
    <w:p>
      <w:pPr>
        <w:spacing w:after="0" w:line="221"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Name and Address of Purchaser</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C.M. LIFE INSURANCE COMPANY</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 Babson Capital Management LLC</w:t>
      </w:r>
    </w:p>
    <w:p>
      <w:pPr>
        <w:ind w:left="40"/>
        <w:spacing w:after="0" w:line="230" w:lineRule="auto"/>
        <w:rPr>
          <w:sz w:val="20"/>
          <w:szCs w:val="20"/>
          <w:color w:val="auto"/>
        </w:rPr>
      </w:pPr>
      <w:r>
        <w:rPr>
          <w:rFonts w:ascii="Arial" w:cs="Arial" w:eastAsia="Arial" w:hAnsi="Arial"/>
          <w:sz w:val="22"/>
          <w:szCs w:val="22"/>
          <w:color w:val="auto"/>
        </w:rPr>
        <w:t>1500 Main Street - Suite 2200</w:t>
      </w:r>
    </w:p>
    <w:p>
      <w:pPr>
        <w:ind w:left="40"/>
        <w:spacing w:after="0" w:line="231" w:lineRule="auto"/>
        <w:rPr>
          <w:sz w:val="20"/>
          <w:szCs w:val="20"/>
          <w:color w:val="auto"/>
        </w:rPr>
      </w:pPr>
      <w:r>
        <w:rPr>
          <w:rFonts w:ascii="Arial" w:cs="Arial" w:eastAsia="Arial" w:hAnsi="Arial"/>
          <w:sz w:val="22"/>
          <w:szCs w:val="22"/>
          <w:color w:val="auto"/>
        </w:rPr>
        <w:t>P.O. Box 15189</w:t>
      </w:r>
    </w:p>
    <w:p>
      <w:pPr>
        <w:ind w:left="40"/>
        <w:spacing w:after="0"/>
        <w:rPr>
          <w:sz w:val="20"/>
          <w:szCs w:val="20"/>
          <w:color w:val="auto"/>
        </w:rPr>
      </w:pPr>
      <w:r>
        <w:rPr>
          <w:rFonts w:ascii="Arial" w:cs="Arial" w:eastAsia="Arial" w:hAnsi="Arial"/>
          <w:sz w:val="22"/>
          <w:szCs w:val="22"/>
          <w:color w:val="auto"/>
        </w:rPr>
        <w:t>Springfield, MA 01115-5189</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Payments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Principal Amount and Series</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of Notes to Be Purchased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Arial" w:cs="Arial" w:eastAsia="Arial" w:hAnsi="Arial"/>
                <w:sz w:val="22"/>
                <w:szCs w:val="22"/>
                <w:color w:val="auto"/>
              </w:rPr>
              <w:t>Series B</w:t>
            </w:r>
          </w:p>
        </w:tc>
        <w:tc>
          <w:tcPr>
            <w:tcW w:w="2040" w:type="dxa"/>
            <w:vAlign w:val="bottom"/>
          </w:tcPr>
          <w:p>
            <w:pPr>
              <w:ind w:left="600"/>
              <w:spacing w:after="0"/>
              <w:rPr>
                <w:sz w:val="20"/>
                <w:szCs w:val="20"/>
                <w:color w:val="auto"/>
              </w:rPr>
            </w:pPr>
            <w:r>
              <w:rPr>
                <w:rFonts w:ascii="Arial" w:cs="Arial" w:eastAsia="Arial" w:hAnsi="Arial"/>
                <w:sz w:val="22"/>
                <w:szCs w:val="22"/>
                <w:color w:val="auto"/>
                <w:w w:val="89"/>
              </w:rPr>
              <w:t>U.S. $1,900,000</w:t>
            </w:r>
          </w:p>
        </w:tc>
      </w:tr>
      <w:tr>
        <w:trPr>
          <w:trHeight w:val="275"/>
        </w:trPr>
        <w:tc>
          <w:tcPr>
            <w:tcW w:w="1340" w:type="dxa"/>
            <w:vAlign w:val="bottom"/>
          </w:tcPr>
          <w:p>
            <w:pPr>
              <w:ind w:left="40"/>
              <w:spacing w:after="0"/>
              <w:rPr>
                <w:sz w:val="20"/>
                <w:szCs w:val="20"/>
                <w:color w:val="auto"/>
              </w:rPr>
            </w:pPr>
            <w:r>
              <w:rPr>
                <w:rFonts w:ascii="Arial" w:cs="Arial" w:eastAsia="Arial" w:hAnsi="Arial"/>
                <w:sz w:val="22"/>
                <w:szCs w:val="22"/>
                <w:color w:val="auto"/>
              </w:rPr>
              <w:t>Series C</w:t>
            </w:r>
          </w:p>
        </w:tc>
        <w:tc>
          <w:tcPr>
            <w:tcW w:w="2040" w:type="dxa"/>
            <w:vAlign w:val="bottom"/>
          </w:tcPr>
          <w:p>
            <w:pPr>
              <w:ind w:left="620"/>
              <w:spacing w:after="0"/>
              <w:rPr>
                <w:sz w:val="20"/>
                <w:szCs w:val="20"/>
                <w:color w:val="auto"/>
              </w:rPr>
            </w:pPr>
            <w:r>
              <w:rPr>
                <w:rFonts w:ascii="Arial" w:cs="Arial" w:eastAsia="Arial" w:hAnsi="Arial"/>
                <w:sz w:val="22"/>
                <w:szCs w:val="22"/>
                <w:color w:val="auto"/>
                <w:w w:val="88"/>
              </w:rPr>
              <w:t>U.S. $2,400,000</w:t>
            </w:r>
          </w:p>
        </w:tc>
      </w:tr>
    </w:tbl>
    <w:p>
      <w:pPr>
        <w:spacing w:after="0" w:line="1318" w:lineRule="exact"/>
        <w:rPr>
          <w:sz w:val="20"/>
          <w:szCs w:val="20"/>
          <w:color w:val="auto"/>
        </w:rPr>
      </w:pPr>
    </w:p>
    <w:p>
      <w:pPr>
        <w:sectPr>
          <w:pgSz w:w="11900" w:h="16838" w:orient="portrait"/>
          <w:cols w:equalWidth="0" w:num="2">
            <w:col w:w="6780" w:space="720"/>
            <w:col w:w="3920"/>
          </w:cols>
          <w:pgMar w:left="240" w:top="1440" w:right="239" w:bottom="1440" w:gutter="0" w:footer="0" w:header="0"/>
        </w:sectPr>
      </w:pPr>
    </w:p>
    <w:p>
      <w:pPr>
        <w:jc w:val="both"/>
        <w:spacing w:after="0" w:line="288" w:lineRule="auto"/>
        <w:rPr>
          <w:sz w:val="20"/>
          <w:szCs w:val="20"/>
          <w:color w:val="auto"/>
        </w:rPr>
      </w:pPr>
      <w:r>
        <w:rPr>
          <w:rFonts w:ascii="Arial" w:cs="Arial" w:eastAsia="Arial" w:hAnsi="Arial"/>
          <w:sz w:val="22"/>
          <w:szCs w:val="22"/>
          <w:color w:val="auto"/>
        </w:rPr>
        <w:t>All payments on account of the Note shall be made by crediting in the form of bank wire transfer of Federal or other immediately available funds, (identifying each payment as American Assets Trust, L.P., 4.45% Senior Guaranteed Notes, Series B, due February 2, 2025, PPN 02401@ AB5 and 4.50% Senior Guaranteed Notes, Series C, PPN 02401@ AC3, principal, premium or interest), to:</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MassMutual Co-Owned Account</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Citibank</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 021000089</w:t>
      </w:r>
    </w:p>
    <w:p>
      <w:pPr>
        <w:spacing w:after="0" w:line="44"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Acct #</w:t>
      </w:r>
      <w:r>
        <w:rPr>
          <w:sz w:val="20"/>
          <w:szCs w:val="20"/>
          <w:color w:val="auto"/>
        </w:rPr>
        <w:tab/>
      </w:r>
      <w:r>
        <w:rPr>
          <w:rFonts w:ascii="Arial" w:cs="Arial" w:eastAsia="Arial" w:hAnsi="Arial"/>
          <w:sz w:val="19"/>
          <w:szCs w:val="19"/>
          <w:color w:val="auto"/>
        </w:rPr>
        <w:t>30510685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Description of security, cusip, principal and interest split</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With advice of payment to the Treasury Operations Liquidity Management Department at Massachusetts Mutual Life Insurance Company at mmincometeam@massmutual.com or (413) 226-4295 (facsimile).</w:t>
      </w:r>
    </w:p>
    <w:p>
      <w:pPr>
        <w:sectPr>
          <w:pgSz w:w="11900" w:h="16838" w:orient="portrait"/>
          <w:cols w:equalWidth="0" w:num="1">
            <w:col w:w="11420"/>
          </w:cols>
          <w:pgMar w:left="240" w:top="1440" w:right="239" w:bottom="1440" w:gutter="0" w:footer="0" w:header="0"/>
          <w:type w:val="continuous"/>
        </w:sectPr>
      </w:pPr>
    </w:p>
    <w:bookmarkStart w:id="178" w:name="page179"/>
    <w:bookmarkEnd w:id="178"/>
    <w:tbl>
      <w:tblPr>
        <w:tblLayout w:type="fixed"/>
        <w:tblInd w:w="40" w:type="dxa"/>
        <w:tblCellMar>
          <w:top w:w="0" w:type="dxa"/>
          <w:left w:w="0" w:type="dxa"/>
          <w:bottom w:w="0" w:type="dxa"/>
          <w:right w:w="0" w:type="dxa"/>
        </w:tblCellMar>
      </w:tblPr>
      <w:tr>
        <w:trPr>
          <w:trHeight w:val="253"/>
        </w:trPr>
        <w:tc>
          <w:tcPr>
            <w:tcW w:w="4940" w:type="dxa"/>
            <w:vAlign w:val="bottom"/>
            <w:gridSpan w:val="2"/>
          </w:tcPr>
          <w:p>
            <w:pPr>
              <w:spacing w:after="0"/>
              <w:rPr>
                <w:sz w:val="20"/>
                <w:szCs w:val="20"/>
                <w:color w:val="auto"/>
              </w:rPr>
            </w:pPr>
            <w:r>
              <w:rPr>
                <w:rFonts w:ascii="Arial" w:cs="Arial" w:eastAsia="Arial" w:hAnsi="Arial"/>
                <w:sz w:val="22"/>
                <w:szCs w:val="22"/>
                <w:b w:val="1"/>
                <w:bCs w:val="1"/>
                <w:color w:val="auto"/>
              </w:rPr>
              <w:t>Notices</w:t>
            </w:r>
          </w:p>
        </w:tc>
        <w:tc>
          <w:tcPr>
            <w:tcW w:w="4980" w:type="dxa"/>
            <w:vAlign w:val="bottom"/>
            <w:vMerge w:val="restart"/>
          </w:tcPr>
          <w:p>
            <w:pPr>
              <w:ind w:left="1180"/>
              <w:spacing w:after="0"/>
              <w:rPr>
                <w:sz w:val="20"/>
                <w:szCs w:val="20"/>
                <w:color w:val="auto"/>
              </w:rPr>
            </w:pPr>
            <w:r>
              <w:rPr>
                <w:rFonts w:ascii="Arial" w:cs="Arial" w:eastAsia="Arial" w:hAnsi="Arial"/>
                <w:sz w:val="22"/>
                <w:szCs w:val="22"/>
                <w:b w:val="1"/>
                <w:bCs w:val="1"/>
                <w:color w:val="auto"/>
              </w:rPr>
              <w:t>Send Notices on Payments to</w:t>
            </w:r>
          </w:p>
        </w:tc>
        <w:tc>
          <w:tcPr>
            <w:tcW w:w="0" w:type="dxa"/>
            <w:vAlign w:val="bottom"/>
          </w:tcPr>
          <w:p>
            <w:pPr>
              <w:spacing w:after="0"/>
              <w:rPr>
                <w:sz w:val="1"/>
                <w:szCs w:val="1"/>
                <w:color w:val="auto"/>
              </w:rPr>
            </w:pPr>
          </w:p>
        </w:tc>
      </w:tr>
      <w:tr>
        <w:trPr>
          <w:trHeight w:val="242"/>
        </w:trPr>
        <w:tc>
          <w:tcPr>
            <w:tcW w:w="66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w w:val="72"/>
              </w:rPr>
              <w:t>Send</w:t>
            </w:r>
          </w:p>
        </w:tc>
        <w:tc>
          <w:tcPr>
            <w:tcW w:w="4280" w:type="dxa"/>
            <w:vAlign w:val="bottom"/>
          </w:tcPr>
          <w:p>
            <w:pPr>
              <w:ind w:left="160"/>
              <w:spacing w:after="0" w:line="242" w:lineRule="exact"/>
              <w:rPr>
                <w:sz w:val="20"/>
                <w:szCs w:val="20"/>
                <w:color w:val="auto"/>
              </w:rPr>
            </w:pPr>
            <w:r>
              <w:rPr>
                <w:rFonts w:ascii="Arial" w:cs="Arial" w:eastAsia="Arial" w:hAnsi="Arial"/>
                <w:sz w:val="22"/>
                <w:szCs w:val="22"/>
                <w:b w:val="1"/>
                <w:bCs w:val="1"/>
                <w:color w:val="auto"/>
              </w:rPr>
              <w:t>Communications and Notices to</w:t>
            </w:r>
          </w:p>
        </w:tc>
        <w:tc>
          <w:tcPr>
            <w:tcW w:w="4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C.M. Life Insurance Company</w:t>
            </w:r>
          </w:p>
        </w:tc>
        <w:tc>
          <w:tcPr>
            <w:tcW w:w="4980" w:type="dxa"/>
            <w:vAlign w:val="bottom"/>
          </w:tcPr>
          <w:p>
            <w:pPr>
              <w:ind w:left="1180"/>
              <w:spacing w:after="0" w:line="243" w:lineRule="exact"/>
              <w:rPr>
                <w:sz w:val="20"/>
                <w:szCs w:val="20"/>
                <w:color w:val="auto"/>
              </w:rPr>
            </w:pPr>
            <w:r>
              <w:rPr>
                <w:rFonts w:ascii="Arial" w:cs="Arial" w:eastAsia="Arial" w:hAnsi="Arial"/>
                <w:sz w:val="22"/>
                <w:szCs w:val="22"/>
                <w:color w:val="auto"/>
              </w:rPr>
              <w:t>C.M. Life Insurance Company</w:t>
            </w:r>
          </w:p>
        </w:tc>
        <w:tc>
          <w:tcPr>
            <w:tcW w:w="0" w:type="dxa"/>
            <w:vAlign w:val="bottom"/>
          </w:tcPr>
          <w:p>
            <w:pPr>
              <w:spacing w:after="0"/>
              <w:rPr>
                <w:sz w:val="1"/>
                <w:szCs w:val="1"/>
                <w:color w:val="auto"/>
              </w:rPr>
            </w:pPr>
          </w:p>
        </w:tc>
      </w:tr>
      <w:tr>
        <w:trPr>
          <w:trHeight w:val="243"/>
        </w:trPr>
        <w:tc>
          <w:tcPr>
            <w:tcW w:w="494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c/o Babson Capital Management LLC</w:t>
            </w:r>
          </w:p>
        </w:tc>
        <w:tc>
          <w:tcPr>
            <w:tcW w:w="4980" w:type="dxa"/>
            <w:vAlign w:val="bottom"/>
          </w:tcPr>
          <w:p>
            <w:pPr>
              <w:ind w:left="1180"/>
              <w:spacing w:after="0" w:line="243" w:lineRule="exact"/>
              <w:rPr>
                <w:sz w:val="20"/>
                <w:szCs w:val="20"/>
                <w:color w:val="auto"/>
              </w:rPr>
            </w:pPr>
            <w:r>
              <w:rPr>
                <w:rFonts w:ascii="Arial" w:cs="Arial" w:eastAsia="Arial" w:hAnsi="Arial"/>
                <w:sz w:val="22"/>
                <w:szCs w:val="22"/>
                <w:color w:val="auto"/>
                <w:w w:val="89"/>
              </w:rPr>
              <w:t>Treasury Operations Liquidity Management</w:t>
            </w:r>
          </w:p>
        </w:tc>
        <w:tc>
          <w:tcPr>
            <w:tcW w:w="0" w:type="dxa"/>
            <w:vAlign w:val="bottom"/>
          </w:tcPr>
          <w:p>
            <w:pPr>
              <w:spacing w:after="0"/>
              <w:rPr>
                <w:sz w:val="1"/>
                <w:szCs w:val="1"/>
                <w:color w:val="auto"/>
              </w:rPr>
            </w:pPr>
          </w:p>
        </w:tc>
      </w:tr>
      <w:tr>
        <w:trPr>
          <w:trHeight w:val="243"/>
        </w:trPr>
        <w:tc>
          <w:tcPr>
            <w:tcW w:w="494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1500 Main Street – Suite 2200</w:t>
            </w:r>
          </w:p>
        </w:tc>
        <w:tc>
          <w:tcPr>
            <w:tcW w:w="4980" w:type="dxa"/>
            <w:vAlign w:val="bottom"/>
          </w:tcPr>
          <w:p>
            <w:pPr>
              <w:ind w:left="1180"/>
              <w:spacing w:after="0" w:line="243" w:lineRule="exact"/>
              <w:rPr>
                <w:sz w:val="20"/>
                <w:szCs w:val="20"/>
                <w:color w:val="auto"/>
              </w:rPr>
            </w:pPr>
            <w:r>
              <w:rPr>
                <w:rFonts w:ascii="Arial" w:cs="Arial" w:eastAsia="Arial" w:hAnsi="Arial"/>
                <w:sz w:val="22"/>
                <w:szCs w:val="22"/>
                <w:color w:val="auto"/>
              </w:rPr>
              <w:t>1295 State Street</w:t>
            </w:r>
          </w:p>
        </w:tc>
        <w:tc>
          <w:tcPr>
            <w:tcW w:w="0" w:type="dxa"/>
            <w:vAlign w:val="bottom"/>
          </w:tcPr>
          <w:p>
            <w:pPr>
              <w:spacing w:after="0"/>
              <w:rPr>
                <w:sz w:val="1"/>
                <w:szCs w:val="1"/>
                <w:color w:val="auto"/>
              </w:rPr>
            </w:pPr>
          </w:p>
        </w:tc>
      </w:tr>
      <w:tr>
        <w:trPr>
          <w:trHeight w:val="243"/>
        </w:trPr>
        <w:tc>
          <w:tcPr>
            <w:tcW w:w="494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PO Box 15189</w:t>
            </w:r>
          </w:p>
        </w:tc>
        <w:tc>
          <w:tcPr>
            <w:tcW w:w="4980" w:type="dxa"/>
            <w:vAlign w:val="bottom"/>
          </w:tcPr>
          <w:p>
            <w:pPr>
              <w:ind w:left="1180"/>
              <w:spacing w:after="0" w:line="243" w:lineRule="exact"/>
              <w:rPr>
                <w:sz w:val="20"/>
                <w:szCs w:val="20"/>
                <w:color w:val="auto"/>
              </w:rPr>
            </w:pPr>
            <w:r>
              <w:rPr>
                <w:rFonts w:ascii="Arial" w:cs="Arial" w:eastAsia="Arial" w:hAnsi="Arial"/>
                <w:sz w:val="22"/>
                <w:szCs w:val="22"/>
                <w:color w:val="auto"/>
              </w:rPr>
              <w:t>Springfield, MA 01111</w:t>
            </w:r>
          </w:p>
        </w:tc>
        <w:tc>
          <w:tcPr>
            <w:tcW w:w="0" w:type="dxa"/>
            <w:vAlign w:val="bottom"/>
          </w:tcPr>
          <w:p>
            <w:pPr>
              <w:spacing w:after="0"/>
              <w:rPr>
                <w:sz w:val="1"/>
                <w:szCs w:val="1"/>
                <w:color w:val="auto"/>
              </w:rPr>
            </w:pPr>
          </w:p>
        </w:tc>
      </w:tr>
      <w:tr>
        <w:trPr>
          <w:trHeight w:val="275"/>
        </w:trPr>
        <w:tc>
          <w:tcPr>
            <w:tcW w:w="4940" w:type="dxa"/>
            <w:vAlign w:val="bottom"/>
            <w:gridSpan w:val="2"/>
          </w:tcPr>
          <w:p>
            <w:pPr>
              <w:ind w:left="320"/>
              <w:spacing w:after="0"/>
              <w:rPr>
                <w:sz w:val="20"/>
                <w:szCs w:val="20"/>
                <w:color w:val="auto"/>
              </w:rPr>
            </w:pPr>
            <w:r>
              <w:rPr>
                <w:rFonts w:ascii="Arial" w:cs="Arial" w:eastAsia="Arial" w:hAnsi="Arial"/>
                <w:sz w:val="22"/>
                <w:szCs w:val="22"/>
                <w:color w:val="auto"/>
              </w:rPr>
              <w:t>Springfield, MA 01115-5189</w:t>
            </w:r>
          </w:p>
        </w:tc>
        <w:tc>
          <w:tcPr>
            <w:tcW w:w="4980" w:type="dxa"/>
            <w:vAlign w:val="bottom"/>
          </w:tcPr>
          <w:p>
            <w:pPr>
              <w:ind w:left="1180"/>
              <w:spacing w:after="0"/>
              <w:rPr>
                <w:sz w:val="20"/>
                <w:szCs w:val="20"/>
                <w:color w:val="auto"/>
              </w:rPr>
            </w:pPr>
            <w:r>
              <w:rPr>
                <w:rFonts w:ascii="Arial" w:cs="Arial" w:eastAsia="Arial" w:hAnsi="Arial"/>
                <w:sz w:val="22"/>
                <w:szCs w:val="22"/>
                <w:color w:val="auto"/>
              </w:rPr>
              <w:t>Attn: Janelle Tarantino</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792" w:right="1440" w:bottom="1440" w:gutter="0" w:footer="0" w:header="0"/>
        </w:sectPr>
      </w:pPr>
    </w:p>
    <w:p>
      <w:pPr>
        <w:spacing w:after="0" w:line="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Electronic Delivery of Financials and other information to:</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C.M. Life Insurance Company</w:t>
      </w:r>
    </w:p>
    <w:p>
      <w:pPr>
        <w:ind w:left="360"/>
        <w:spacing w:after="0" w:line="230" w:lineRule="auto"/>
        <w:rPr>
          <w:sz w:val="20"/>
          <w:szCs w:val="20"/>
          <w:color w:val="auto"/>
        </w:rPr>
      </w:pPr>
      <w:r>
        <w:rPr>
          <w:rFonts w:ascii="Arial" w:cs="Arial" w:eastAsia="Arial" w:hAnsi="Arial"/>
          <w:sz w:val="22"/>
          <w:szCs w:val="22"/>
          <w:color w:val="auto"/>
        </w:rPr>
        <w:t>c/o Babson Capital Management LLC</w:t>
      </w:r>
    </w:p>
    <w:p>
      <w:pPr>
        <w:ind w:left="360"/>
        <w:spacing w:after="0" w:line="231" w:lineRule="auto"/>
        <w:rPr>
          <w:sz w:val="20"/>
          <w:szCs w:val="20"/>
          <w:color w:val="auto"/>
        </w:rPr>
      </w:pPr>
      <w:r>
        <w:rPr>
          <w:rFonts w:ascii="Arial" w:cs="Arial" w:eastAsia="Arial" w:hAnsi="Arial"/>
          <w:sz w:val="22"/>
          <w:szCs w:val="22"/>
          <w:color w:val="auto"/>
        </w:rPr>
        <w:t>1500 Main Street – Suite 2200</w:t>
      </w:r>
    </w:p>
    <w:p>
      <w:pPr>
        <w:ind w:left="360"/>
        <w:spacing w:after="0" w:line="230" w:lineRule="auto"/>
        <w:rPr>
          <w:sz w:val="20"/>
          <w:szCs w:val="20"/>
          <w:color w:val="auto"/>
        </w:rPr>
      </w:pPr>
      <w:r>
        <w:rPr>
          <w:rFonts w:ascii="Arial" w:cs="Arial" w:eastAsia="Arial" w:hAnsi="Arial"/>
          <w:sz w:val="22"/>
          <w:szCs w:val="22"/>
          <w:color w:val="auto"/>
        </w:rPr>
        <w:t>PO Box 15189</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Springfield, MA 01115-5189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With a copy to: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C.M. Life Insurance Company</w:t>
      </w:r>
    </w:p>
    <w:p>
      <w:pPr>
        <w:spacing w:after="0"/>
        <w:rPr>
          <w:sz w:val="20"/>
          <w:szCs w:val="20"/>
          <w:color w:val="auto"/>
        </w:rPr>
      </w:pPr>
      <w:r>
        <w:rPr>
          <w:rFonts w:ascii="Arial" w:cs="Arial" w:eastAsia="Arial" w:hAnsi="Arial"/>
          <w:sz w:val="19"/>
          <w:szCs w:val="19"/>
          <w:color w:val="auto"/>
        </w:rPr>
        <w:t>c/o Babson Capital Management LLC</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1500 Main Street – Suite 2200</w:t>
      </w:r>
    </w:p>
    <w:p>
      <w:pPr>
        <w:spacing w:after="0" w:line="230" w:lineRule="auto"/>
        <w:rPr>
          <w:sz w:val="20"/>
          <w:szCs w:val="20"/>
          <w:color w:val="auto"/>
        </w:rPr>
      </w:pPr>
      <w:r>
        <w:rPr>
          <w:rFonts w:ascii="Arial" w:cs="Arial" w:eastAsia="Arial" w:hAnsi="Arial"/>
          <w:sz w:val="22"/>
          <w:szCs w:val="22"/>
          <w:color w:val="auto"/>
        </w:rPr>
        <w:t>PO Box 15189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Springfield, MA 01115</w:t>
      </w:r>
    </w:p>
    <w:p>
      <w:pPr>
        <w:spacing w:after="0" w:line="200" w:lineRule="exact"/>
        <w:rPr>
          <w:sz w:val="20"/>
          <w:szCs w:val="20"/>
          <w:color w:val="auto"/>
        </w:rPr>
      </w:pPr>
    </w:p>
    <w:p>
      <w:pPr>
        <w:sectPr>
          <w:pgSz w:w="11900" w:h="16838" w:orient="portrait"/>
          <w:cols w:equalWidth="0" w:num="2">
            <w:col w:w="5780" w:space="380"/>
            <w:col w:w="4059"/>
          </w:cols>
          <w:pgMar w:left="240" w:top="792" w:right="1440" w:bottom="1440" w:gutter="0" w:footer="0" w:header="0"/>
          <w:type w:val="continuous"/>
        </w:sectPr>
      </w:pPr>
    </w:p>
    <w:p>
      <w:pPr>
        <w:spacing w:after="0" w:line="25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With notification to:</w:t>
      </w:r>
    </w:p>
    <w:p>
      <w:pPr>
        <w:spacing w:after="0" w:line="4" w:lineRule="exact"/>
        <w:rPr>
          <w:sz w:val="20"/>
          <w:szCs w:val="20"/>
          <w:color w:val="auto"/>
        </w:rPr>
      </w:pPr>
    </w:p>
    <w:p>
      <w:pPr>
        <w:ind w:left="580" w:hanging="221"/>
        <w:spacing w:after="0"/>
        <w:tabs>
          <w:tab w:leader="none" w:pos="58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privateplacements@babsoncapital.com</w:t>
      </w:r>
    </w:p>
    <w:p>
      <w:pPr>
        <w:ind w:left="580" w:hanging="221"/>
        <w:spacing w:after="0"/>
        <w:tabs>
          <w:tab w:leader="none" w:pos="58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mackerman@babsoncapital.com</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Tax Identification No</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06-1041383 (C.M. Life)</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DTTP No.: 13/C/65904/DTTP</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Registration of Securities</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All securities should be registered to </w:t>
      </w:r>
      <w:r>
        <w:rPr>
          <w:rFonts w:ascii="Arial" w:cs="Arial" w:eastAsia="Arial" w:hAnsi="Arial"/>
          <w:sz w:val="19"/>
          <w:szCs w:val="19"/>
          <w:b w:val="1"/>
          <w:bCs w:val="1"/>
          <w:color w:val="auto"/>
        </w:rPr>
        <w:t>C.M. Life Insurance Company</w:t>
      </w:r>
      <w:r>
        <w:rPr>
          <w:rFonts w:ascii="Arial" w:cs="Arial" w:eastAsia="Arial" w:hAnsi="Arial"/>
          <w:sz w:val="19"/>
          <w:szCs w:val="19"/>
          <w:color w:val="auto"/>
        </w:rPr>
        <w:t xml:space="preserve"> and sent via overnight mail to:</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Peter Mugo, Counsel</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Babson Capital Management LLC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1500 Main Street, Suite 2800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Springfield, MA 01115-5189</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Telephone: 413-226-0632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Facsimile: 413-226-3632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E-mail: pmugo@babsoncapital.com</w:t>
      </w:r>
    </w:p>
    <w:p>
      <w:pPr>
        <w:sectPr>
          <w:pgSz w:w="11900" w:h="16838" w:orient="portrait"/>
          <w:cols w:equalWidth="0" w:num="1">
            <w:col w:w="10219"/>
          </w:cols>
          <w:pgMar w:left="240" w:top="792" w:right="1440" w:bottom="1440" w:gutter="0" w:footer="0" w:header="0"/>
          <w:type w:val="continuous"/>
        </w:sectPr>
      </w:pPr>
    </w:p>
    <w:bookmarkStart w:id="179" w:name="page180"/>
    <w:bookmarkEnd w:id="179"/>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120" w:type="dxa"/>
            <w:vAlign w:val="bottom"/>
          </w:tcPr>
          <w:p>
            <w:pPr>
              <w:spacing w:after="0"/>
              <w:rPr>
                <w:sz w:val="21"/>
                <w:szCs w:val="21"/>
                <w:color w:val="auto"/>
              </w:rPr>
            </w:pPr>
          </w:p>
        </w:tc>
        <w:tc>
          <w:tcPr>
            <w:tcW w:w="4720" w:type="dxa"/>
            <w:vAlign w:val="bottom"/>
            <w:gridSpan w:val="2"/>
          </w:tcPr>
          <w:p>
            <w:pPr>
              <w:jc w:val="center"/>
              <w:ind w:left="1092"/>
              <w:spacing w:after="0"/>
              <w:rPr>
                <w:sz w:val="20"/>
                <w:szCs w:val="20"/>
                <w:color w:val="auto"/>
              </w:rPr>
            </w:pPr>
            <w:r>
              <w:rPr>
                <w:rFonts w:ascii="Arial" w:cs="Arial" w:eastAsia="Arial" w:hAnsi="Arial"/>
                <w:sz w:val="22"/>
                <w:szCs w:val="22"/>
                <w:color w:val="auto"/>
                <w:w w:val="89"/>
              </w:rPr>
              <w:t>Principal Amount and Series</w:t>
            </w:r>
          </w:p>
        </w:tc>
      </w:tr>
      <w:tr>
        <w:trPr>
          <w:trHeight w:val="275"/>
        </w:trPr>
        <w:tc>
          <w:tcPr>
            <w:tcW w:w="6120" w:type="dxa"/>
            <w:vAlign w:val="bottom"/>
          </w:tcPr>
          <w:p>
            <w:pPr>
              <w:ind w:left="2000"/>
              <w:spacing w:after="0"/>
              <w:rPr>
                <w:sz w:val="20"/>
                <w:szCs w:val="20"/>
                <w:color w:val="auto"/>
              </w:rPr>
            </w:pPr>
            <w:r>
              <w:rPr>
                <w:rFonts w:ascii="Arial" w:cs="Arial" w:eastAsia="Arial" w:hAnsi="Arial"/>
                <w:sz w:val="22"/>
                <w:szCs w:val="22"/>
                <w:color w:val="auto"/>
              </w:rPr>
              <w:t>Name and Address of Purchaser</w:t>
            </w:r>
          </w:p>
        </w:tc>
        <w:tc>
          <w:tcPr>
            <w:tcW w:w="4720" w:type="dxa"/>
            <w:vAlign w:val="bottom"/>
            <w:gridSpan w:val="2"/>
          </w:tcPr>
          <w:p>
            <w:pPr>
              <w:jc w:val="center"/>
              <w:ind w:left="1132"/>
              <w:spacing w:after="0"/>
              <w:rPr>
                <w:sz w:val="20"/>
                <w:szCs w:val="20"/>
                <w:color w:val="auto"/>
              </w:rPr>
            </w:pPr>
            <w:r>
              <w:rPr>
                <w:rFonts w:ascii="Arial" w:cs="Arial" w:eastAsia="Arial" w:hAnsi="Arial"/>
                <w:sz w:val="22"/>
                <w:szCs w:val="22"/>
                <w:color w:val="auto"/>
                <w:w w:val="87"/>
              </w:rPr>
              <w:t>of Notes to Be Purchased</w:t>
            </w:r>
          </w:p>
        </w:tc>
      </w:tr>
      <w:tr>
        <w:trPr>
          <w:trHeight w:val="482"/>
        </w:trPr>
        <w:tc>
          <w:tcPr>
            <w:tcW w:w="6120" w:type="dxa"/>
            <w:vAlign w:val="bottom"/>
          </w:tcPr>
          <w:p>
            <w:pPr>
              <w:spacing w:after="0"/>
              <w:rPr>
                <w:sz w:val="20"/>
                <w:szCs w:val="20"/>
                <w:color w:val="auto"/>
              </w:rPr>
            </w:pPr>
            <w:r>
              <w:rPr>
                <w:rFonts w:ascii="Arial" w:cs="Arial" w:eastAsia="Arial" w:hAnsi="Arial"/>
                <w:sz w:val="22"/>
                <w:szCs w:val="22"/>
                <w:b w:val="1"/>
                <w:bCs w:val="1"/>
                <w:color w:val="auto"/>
              </w:rPr>
              <w:t>BANNER LIFE INSURANCE COMPANY</w:t>
            </w:r>
          </w:p>
        </w:tc>
        <w:tc>
          <w:tcPr>
            <w:tcW w:w="2680" w:type="dxa"/>
            <w:vAlign w:val="bottom"/>
          </w:tcPr>
          <w:p>
            <w:pPr>
              <w:ind w:left="1340"/>
              <w:spacing w:after="0"/>
              <w:rPr>
                <w:sz w:val="20"/>
                <w:szCs w:val="20"/>
                <w:color w:val="auto"/>
              </w:rPr>
            </w:pPr>
            <w:r>
              <w:rPr>
                <w:rFonts w:ascii="Arial" w:cs="Arial" w:eastAsia="Arial" w:hAnsi="Arial"/>
                <w:sz w:val="22"/>
                <w:szCs w:val="22"/>
                <w:color w:val="auto"/>
              </w:rPr>
              <w:t>Series B</w:t>
            </w:r>
          </w:p>
        </w:tc>
        <w:tc>
          <w:tcPr>
            <w:tcW w:w="2040" w:type="dxa"/>
            <w:vAlign w:val="bottom"/>
          </w:tcPr>
          <w:p>
            <w:pPr>
              <w:ind w:left="600"/>
              <w:spacing w:after="0"/>
              <w:rPr>
                <w:sz w:val="20"/>
                <w:szCs w:val="20"/>
                <w:color w:val="auto"/>
              </w:rPr>
            </w:pPr>
            <w:r>
              <w:rPr>
                <w:rFonts w:ascii="Arial" w:cs="Arial" w:eastAsia="Arial" w:hAnsi="Arial"/>
                <w:sz w:val="22"/>
                <w:szCs w:val="22"/>
                <w:color w:val="auto"/>
                <w:w w:val="89"/>
              </w:rPr>
              <w:t>U.S. $2,500,000</w:t>
            </w:r>
          </w:p>
        </w:tc>
      </w:tr>
      <w:tr>
        <w:trPr>
          <w:trHeight w:val="288"/>
        </w:trPr>
        <w:tc>
          <w:tcPr>
            <w:tcW w:w="6120" w:type="dxa"/>
            <w:vAlign w:val="bottom"/>
          </w:tcPr>
          <w:p>
            <w:pPr>
              <w:spacing w:after="0"/>
              <w:rPr>
                <w:sz w:val="20"/>
                <w:szCs w:val="20"/>
                <w:color w:val="auto"/>
              </w:rPr>
            </w:pPr>
            <w:r>
              <w:rPr>
                <w:rFonts w:ascii="Arial" w:cs="Arial" w:eastAsia="Arial" w:hAnsi="Arial"/>
                <w:sz w:val="22"/>
                <w:szCs w:val="22"/>
                <w:color w:val="auto"/>
              </w:rPr>
              <w:t>c/o Babson Capital Management LLC</w:t>
            </w:r>
          </w:p>
        </w:tc>
        <w:tc>
          <w:tcPr>
            <w:tcW w:w="2680" w:type="dxa"/>
            <w:vAlign w:val="bottom"/>
          </w:tcPr>
          <w:p>
            <w:pPr>
              <w:ind w:left="1380"/>
              <w:spacing w:after="0"/>
              <w:rPr>
                <w:sz w:val="20"/>
                <w:szCs w:val="20"/>
                <w:color w:val="auto"/>
              </w:rPr>
            </w:pPr>
            <w:r>
              <w:rPr>
                <w:rFonts w:ascii="Arial" w:cs="Arial" w:eastAsia="Arial" w:hAnsi="Arial"/>
                <w:sz w:val="22"/>
                <w:szCs w:val="22"/>
                <w:color w:val="auto"/>
              </w:rPr>
              <w:t>Series C</w:t>
            </w:r>
          </w:p>
        </w:tc>
        <w:tc>
          <w:tcPr>
            <w:tcW w:w="2040" w:type="dxa"/>
            <w:vAlign w:val="bottom"/>
          </w:tcPr>
          <w:p>
            <w:pPr>
              <w:ind w:left="620"/>
              <w:spacing w:after="0"/>
              <w:rPr>
                <w:sz w:val="20"/>
                <w:szCs w:val="20"/>
                <w:color w:val="auto"/>
              </w:rPr>
            </w:pPr>
            <w:r>
              <w:rPr>
                <w:rFonts w:ascii="Arial" w:cs="Arial" w:eastAsia="Arial" w:hAnsi="Arial"/>
                <w:sz w:val="22"/>
                <w:szCs w:val="22"/>
                <w:color w:val="auto"/>
                <w:w w:val="88"/>
              </w:rPr>
              <w:t>U.S. $3,500,000</w:t>
            </w:r>
          </w:p>
        </w:tc>
      </w:tr>
    </w:tbl>
    <w:p>
      <w:pPr>
        <w:ind w:left="40"/>
        <w:spacing w:after="0" w:line="230" w:lineRule="auto"/>
        <w:rPr>
          <w:sz w:val="20"/>
          <w:szCs w:val="20"/>
          <w:color w:val="auto"/>
        </w:rPr>
      </w:pPr>
      <w:r>
        <w:rPr>
          <w:rFonts w:ascii="Arial" w:cs="Arial" w:eastAsia="Arial" w:hAnsi="Arial"/>
          <w:sz w:val="22"/>
          <w:szCs w:val="22"/>
          <w:color w:val="auto"/>
        </w:rPr>
        <w:t>1500 Main Street - Suite 2200</w:t>
      </w:r>
    </w:p>
    <w:p>
      <w:pPr>
        <w:ind w:left="40"/>
        <w:spacing w:after="0" w:line="231" w:lineRule="auto"/>
        <w:rPr>
          <w:sz w:val="20"/>
          <w:szCs w:val="20"/>
          <w:color w:val="auto"/>
        </w:rPr>
      </w:pPr>
      <w:r>
        <w:rPr>
          <w:rFonts w:ascii="Arial" w:cs="Arial" w:eastAsia="Arial" w:hAnsi="Arial"/>
          <w:sz w:val="22"/>
          <w:szCs w:val="22"/>
          <w:color w:val="auto"/>
        </w:rPr>
        <w:t>P.O. Box 15189</w:t>
      </w:r>
    </w:p>
    <w:p>
      <w:pPr>
        <w:ind w:left="40"/>
        <w:spacing w:after="0"/>
        <w:rPr>
          <w:sz w:val="20"/>
          <w:szCs w:val="20"/>
          <w:color w:val="auto"/>
        </w:rPr>
      </w:pPr>
      <w:r>
        <w:rPr>
          <w:rFonts w:ascii="Arial" w:cs="Arial" w:eastAsia="Arial" w:hAnsi="Arial"/>
          <w:sz w:val="22"/>
          <w:szCs w:val="22"/>
          <w:color w:val="auto"/>
        </w:rPr>
        <w:t>Springfield, MA 01115-5189</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Payments</w:t>
      </w:r>
    </w:p>
    <w:p>
      <w:pPr>
        <w:spacing w:after="0" w:line="50"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All payments on account of the Note shall be made by crediting in the form of bank wire transfer of Federal or other immediately available funds, (identifying each payment as American Assets Trust, L.P., 4.45% Senior Guaranteed Notes, Series B, due February 2, 2025, PPN 02401@ AB5 and 4.50% Senior Guaranteed Notes, Series C, PPN 02401@ AC3, principal, premium or interest), to:</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BANNER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Bank of New York/Mellon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 021000018</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Acct Name: Banner Life Insurance Company</w:t>
      </w:r>
    </w:p>
    <w:p>
      <w:pPr>
        <w:spacing w:after="0" w:line="44"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Acct #</w:t>
      </w:r>
      <w:r>
        <w:rPr>
          <w:sz w:val="20"/>
          <w:szCs w:val="20"/>
          <w:color w:val="auto"/>
        </w:rPr>
        <w:tab/>
      </w:r>
      <w:r>
        <w:rPr>
          <w:rFonts w:ascii="Arial" w:cs="Arial" w:eastAsia="Arial" w:hAnsi="Arial"/>
          <w:sz w:val="19"/>
          <w:szCs w:val="19"/>
          <w:color w:val="auto"/>
        </w:rPr>
        <w:t>GLA 111566</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P&amp;I Department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Description of security, cusip, principal and interest split</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22"/>
          <w:szCs w:val="22"/>
          <w:b w:val="1"/>
          <w:bCs w:val="1"/>
          <w:u w:val="single" w:color="auto"/>
          <w:color w:val="auto"/>
        </w:rPr>
        <w:t>Notices</w:t>
      </w:r>
    </w:p>
    <w:p>
      <w:pPr>
        <w:spacing w:after="0" w:line="14" w:lineRule="exact"/>
        <w:rPr>
          <w:sz w:val="20"/>
          <w:szCs w:val="20"/>
          <w:color w:val="auto"/>
        </w:rPr>
      </w:pPr>
    </w:p>
    <w:p>
      <w:pPr>
        <w:ind w:left="360"/>
        <w:spacing w:after="0" w:line="230" w:lineRule="auto"/>
        <w:rPr>
          <w:sz w:val="20"/>
          <w:szCs w:val="20"/>
          <w:color w:val="auto"/>
        </w:rPr>
      </w:pPr>
      <w:r>
        <w:rPr>
          <w:rFonts w:ascii="Arial" w:cs="Arial" w:eastAsia="Arial" w:hAnsi="Arial"/>
          <w:sz w:val="22"/>
          <w:szCs w:val="22"/>
          <w:b w:val="1"/>
          <w:bCs w:val="1"/>
          <w:color w:val="auto"/>
        </w:rPr>
        <w:t>Send Communications and Notices, including notices on payments, to</w:t>
      </w:r>
    </w:p>
    <w:p>
      <w:pPr>
        <w:ind w:left="360"/>
        <w:spacing w:after="0" w:line="231" w:lineRule="auto"/>
        <w:rPr>
          <w:sz w:val="20"/>
          <w:szCs w:val="20"/>
          <w:color w:val="auto"/>
        </w:rPr>
      </w:pPr>
      <w:r>
        <w:rPr>
          <w:rFonts w:ascii="Arial" w:cs="Arial" w:eastAsia="Arial" w:hAnsi="Arial"/>
          <w:sz w:val="22"/>
          <w:szCs w:val="22"/>
          <w:color w:val="auto"/>
        </w:rPr>
        <w:t>Banner Life Insurance Company</w:t>
      </w:r>
    </w:p>
    <w:p>
      <w:pPr>
        <w:spacing w:after="0" w:line="1" w:lineRule="exact"/>
        <w:rPr>
          <w:sz w:val="20"/>
          <w:szCs w:val="20"/>
          <w:color w:val="auto"/>
        </w:rPr>
      </w:pPr>
    </w:p>
    <w:p>
      <w:pPr>
        <w:ind w:left="360" w:right="1600"/>
        <w:spacing w:after="0" w:line="230" w:lineRule="auto"/>
        <w:rPr>
          <w:sz w:val="20"/>
          <w:szCs w:val="20"/>
          <w:color w:val="auto"/>
        </w:rPr>
      </w:pPr>
      <w:r>
        <w:rPr>
          <w:rFonts w:ascii="Arial" w:cs="Arial" w:eastAsia="Arial" w:hAnsi="Arial"/>
          <w:sz w:val="22"/>
          <w:szCs w:val="22"/>
          <w:color w:val="auto"/>
        </w:rPr>
        <w:t>c/o Babson Capital Management LLC 1500 Main Street – Suite 2200 PO Box 15189</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Springfield, MA 01115-5189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5"/>
        <w:spacing w:after="0"/>
        <w:rPr>
          <w:sz w:val="20"/>
          <w:szCs w:val="20"/>
          <w:color w:val="auto"/>
        </w:rPr>
      </w:pPr>
      <w:r>
        <w:rPr>
          <w:rFonts w:ascii="Arial" w:cs="Arial" w:eastAsia="Arial" w:hAnsi="Arial"/>
          <w:sz w:val="19"/>
          <w:szCs w:val="19"/>
          <w:b w:val="1"/>
          <w:bCs w:val="1"/>
          <w:color w:val="auto"/>
        </w:rPr>
        <w:t>Electronic Delivery of Financials and other information to:</w:t>
      </w:r>
    </w:p>
    <w:p>
      <w:pPr>
        <w:spacing w:after="0" w:line="39" w:lineRule="exact"/>
        <w:rPr>
          <w:sz w:val="20"/>
          <w:szCs w:val="20"/>
          <w:color w:val="auto"/>
        </w:rPr>
      </w:pPr>
    </w:p>
    <w:p>
      <w:pPr>
        <w:ind w:left="25"/>
        <w:spacing w:after="0"/>
        <w:rPr>
          <w:sz w:val="20"/>
          <w:szCs w:val="20"/>
          <w:color w:val="auto"/>
        </w:rPr>
      </w:pPr>
      <w:r>
        <w:rPr>
          <w:rFonts w:ascii="Arial" w:cs="Arial" w:eastAsia="Arial" w:hAnsi="Arial"/>
          <w:sz w:val="22"/>
          <w:szCs w:val="22"/>
          <w:color w:val="auto"/>
        </w:rPr>
        <w:t>Banner Life Insurance Company</w:t>
      </w:r>
    </w:p>
    <w:p>
      <w:pPr>
        <w:ind w:left="25" w:right="2280"/>
        <w:spacing w:after="0" w:line="230" w:lineRule="auto"/>
        <w:rPr>
          <w:sz w:val="20"/>
          <w:szCs w:val="20"/>
          <w:color w:val="auto"/>
        </w:rPr>
      </w:pPr>
      <w:r>
        <w:rPr>
          <w:rFonts w:ascii="Arial" w:cs="Arial" w:eastAsia="Arial" w:hAnsi="Arial"/>
          <w:sz w:val="22"/>
          <w:szCs w:val="22"/>
          <w:color w:val="auto"/>
        </w:rPr>
        <w:t>c/o Babson Capital Management LLC 1500 Main Street – Suite 2200 PO Box 15189</w:t>
      </w:r>
    </w:p>
    <w:p>
      <w:pPr>
        <w:spacing w:after="0" w:line="2" w:lineRule="exact"/>
        <w:rPr>
          <w:sz w:val="20"/>
          <w:szCs w:val="20"/>
          <w:color w:val="auto"/>
        </w:rPr>
      </w:pPr>
    </w:p>
    <w:p>
      <w:pPr>
        <w:ind w:left="25"/>
        <w:spacing w:after="0"/>
        <w:rPr>
          <w:sz w:val="20"/>
          <w:szCs w:val="20"/>
          <w:color w:val="auto"/>
        </w:rPr>
      </w:pPr>
      <w:r>
        <w:rPr>
          <w:rFonts w:ascii="Arial" w:cs="Arial" w:eastAsia="Arial" w:hAnsi="Arial"/>
          <w:sz w:val="22"/>
          <w:szCs w:val="22"/>
          <w:color w:val="auto"/>
        </w:rPr>
        <w:t>Springfield, MA 01115-5189</w:t>
      </w:r>
    </w:p>
    <w:p>
      <w:pPr>
        <w:spacing w:after="0" w:line="209" w:lineRule="exact"/>
        <w:rPr>
          <w:sz w:val="20"/>
          <w:szCs w:val="20"/>
          <w:color w:val="auto"/>
        </w:rPr>
      </w:pPr>
    </w:p>
    <w:p>
      <w:pPr>
        <w:ind w:left="25"/>
        <w:spacing w:after="0"/>
        <w:rPr>
          <w:sz w:val="20"/>
          <w:szCs w:val="20"/>
          <w:color w:val="auto"/>
        </w:rPr>
      </w:pPr>
      <w:r>
        <w:rPr>
          <w:rFonts w:ascii="Arial" w:cs="Arial" w:eastAsia="Arial" w:hAnsi="Arial"/>
          <w:sz w:val="22"/>
          <w:szCs w:val="22"/>
          <w:b w:val="1"/>
          <w:bCs w:val="1"/>
          <w:color w:val="auto"/>
        </w:rPr>
        <w:t>With notification to:</w:t>
      </w:r>
    </w:p>
    <w:p>
      <w:pPr>
        <w:spacing w:after="0" w:line="4" w:lineRule="exact"/>
        <w:rPr>
          <w:sz w:val="20"/>
          <w:szCs w:val="20"/>
          <w:color w:val="auto"/>
        </w:rPr>
      </w:pPr>
    </w:p>
    <w:p>
      <w:pPr>
        <w:ind w:left="245" w:hanging="218"/>
        <w:spacing w:after="0"/>
        <w:tabs>
          <w:tab w:leader="none" w:pos="245" w:val="left"/>
        </w:tabs>
        <w:numPr>
          <w:ilvl w:val="1"/>
          <w:numId w:val="131"/>
        </w:numPr>
        <w:rPr>
          <w:rFonts w:ascii="Arial" w:cs="Arial" w:eastAsia="Arial" w:hAnsi="Arial"/>
          <w:sz w:val="22"/>
          <w:szCs w:val="22"/>
          <w:color w:val="auto"/>
        </w:rPr>
      </w:pPr>
      <w:r>
        <w:rPr>
          <w:rFonts w:ascii="Arial" w:cs="Arial" w:eastAsia="Arial" w:hAnsi="Arial"/>
          <w:sz w:val="22"/>
          <w:szCs w:val="22"/>
          <w:u w:val="single" w:color="auto"/>
          <w:color w:val="auto"/>
        </w:rPr>
        <w:t>privateplacements@babsoncapital.com</w:t>
      </w:r>
    </w:p>
    <w:p>
      <w:pPr>
        <w:ind w:left="225" w:hanging="225"/>
        <w:spacing w:after="0"/>
        <w:tabs>
          <w:tab w:leader="none" w:pos="225"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mackerman@babsoncapital.com</w:t>
      </w:r>
    </w:p>
    <w:p>
      <w:pPr>
        <w:sectPr>
          <w:pgSz w:w="11900" w:h="16838" w:orient="portrait"/>
          <w:cols w:equalWidth="0" w:num="2">
            <w:col w:w="5240" w:space="575"/>
            <w:col w:w="5605"/>
          </w:cols>
          <w:pgMar w:left="240" w:top="1440" w:right="239" w:bottom="1440" w:gutter="0" w:footer="0" w:header="0"/>
          <w:type w:val="continuous"/>
        </w:sectPr>
      </w:pPr>
    </w:p>
    <w:bookmarkStart w:id="180" w:name="page181"/>
    <w:bookmarkEnd w:id="180"/>
    <w:p>
      <w:pPr>
        <w:spacing w:after="0"/>
        <w:rPr>
          <w:sz w:val="20"/>
          <w:szCs w:val="20"/>
          <w:color w:val="auto"/>
        </w:rPr>
      </w:pPr>
      <w:r>
        <w:rPr>
          <w:rFonts w:ascii="Arial" w:cs="Arial" w:eastAsia="Arial" w:hAnsi="Arial"/>
          <w:sz w:val="19"/>
          <w:szCs w:val="19"/>
          <w:b w:val="1"/>
          <w:bCs w:val="1"/>
          <w:u w:val="single" w:color="auto"/>
          <w:color w:val="auto"/>
        </w:rPr>
        <w:t>Tax Identification No</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52-1236145</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DTTP No.: 13/B/363911/DTTP</w:t>
      </w:r>
    </w:p>
    <w:p>
      <w:pPr>
        <w:sectPr>
          <w:pgSz w:w="11900" w:h="16838" w:orient="portrait"/>
          <w:cols w:equalWidth="0" w:num="1">
            <w:col w:w="10219"/>
          </w:cols>
          <w:pgMar w:left="240" w:top="922" w:right="1440"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b w:val="1"/>
          <w:bCs w:val="1"/>
          <w:u w:val="single" w:color="auto"/>
          <w:color w:val="auto"/>
        </w:rPr>
        <w:t>Registration of Securities</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All securities should be registered to </w:t>
      </w:r>
      <w:r>
        <w:rPr>
          <w:rFonts w:ascii="Arial" w:cs="Arial" w:eastAsia="Arial" w:hAnsi="Arial"/>
          <w:sz w:val="19"/>
          <w:szCs w:val="19"/>
          <w:b w:val="1"/>
          <w:bCs w:val="1"/>
          <w:color w:val="auto"/>
        </w:rPr>
        <w:t>Hare &amp; Co., LLC</w:t>
      </w:r>
      <w:r>
        <w:rPr>
          <w:rFonts w:ascii="Arial" w:cs="Arial" w:eastAsia="Arial" w:hAnsi="Arial"/>
          <w:sz w:val="19"/>
          <w:szCs w:val="19"/>
          <w:color w:val="auto"/>
        </w:rPr>
        <w:t xml:space="preserve"> and sent via overnight mail to:</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Bank of New York</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Depository ineligible and physical issues: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The Bank of New York</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One Wall Street – 3</w:t>
      </w:r>
      <w:r>
        <w:rPr>
          <w:rFonts w:ascii="Arial" w:cs="Arial" w:eastAsia="Arial" w:hAnsi="Arial"/>
          <w:sz w:val="28"/>
          <w:szCs w:val="28"/>
          <w:i w:val="1"/>
          <w:iCs w:val="1"/>
          <w:color w:val="auto"/>
          <w:vertAlign w:val="superscript"/>
        </w:rPr>
        <w:t>rd</w:t>
      </w:r>
      <w:r>
        <w:rPr>
          <w:rFonts w:ascii="Arial" w:cs="Arial" w:eastAsia="Arial" w:hAnsi="Arial"/>
          <w:sz w:val="22"/>
          <w:szCs w:val="22"/>
          <w:i w:val="1"/>
          <w:iCs w:val="1"/>
          <w:color w:val="auto"/>
        </w:rPr>
        <w:t xml:space="preserve"> Floor/Window A</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New York, NY 10286</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For account: U.S. Bank N.A. #117612</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With a copy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Peter Mugo, Counsel</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Babson Capital Management LLC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1500 Main Street, Suite 2800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Springfield, MA 01115-5189</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Telephone: 413-226-0632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Facsimile: 413-226-3632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E-mail: </w:t>
      </w:r>
      <w:r>
        <w:rPr>
          <w:rFonts w:ascii="Arial" w:cs="Arial" w:eastAsia="Arial" w:hAnsi="Arial"/>
          <w:sz w:val="22"/>
          <w:szCs w:val="22"/>
          <w:i w:val="1"/>
          <w:iCs w:val="1"/>
          <w:u w:val="single" w:color="auto"/>
          <w:color w:val="auto"/>
        </w:rPr>
        <w:t>pmugo@babsoncapital.com</w:t>
      </w:r>
    </w:p>
    <w:p>
      <w:pPr>
        <w:sectPr>
          <w:pgSz w:w="11900" w:h="16838" w:orient="portrait"/>
          <w:cols w:equalWidth="0" w:num="1">
            <w:col w:w="10219"/>
          </w:cols>
          <w:pgMar w:left="240" w:top="1179" w:right="1440" w:bottom="1440" w:gutter="0" w:footer="0" w:header="0"/>
        </w:sectPr>
      </w:pPr>
    </w:p>
    <w:bookmarkStart w:id="182" w:name="page183"/>
    <w:bookmarkEnd w:id="182"/>
    <w:p>
      <w:pPr>
        <w:spacing w:after="0" w:line="24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Name and Address of Purchaser</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MASSMUTUAL ASIA LIMITED</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 Babson Capital Management LLC</w:t>
      </w:r>
    </w:p>
    <w:p>
      <w:pPr>
        <w:ind w:left="40"/>
        <w:spacing w:after="0" w:line="230" w:lineRule="auto"/>
        <w:rPr>
          <w:sz w:val="20"/>
          <w:szCs w:val="20"/>
          <w:color w:val="auto"/>
        </w:rPr>
      </w:pPr>
      <w:r>
        <w:rPr>
          <w:rFonts w:ascii="Arial" w:cs="Arial" w:eastAsia="Arial" w:hAnsi="Arial"/>
          <w:sz w:val="22"/>
          <w:szCs w:val="22"/>
          <w:color w:val="auto"/>
        </w:rPr>
        <w:t>1500 Main Street - Suite 2200</w:t>
      </w:r>
    </w:p>
    <w:p>
      <w:pPr>
        <w:ind w:left="40"/>
        <w:spacing w:after="0" w:line="231" w:lineRule="auto"/>
        <w:rPr>
          <w:sz w:val="20"/>
          <w:szCs w:val="20"/>
          <w:color w:val="auto"/>
        </w:rPr>
      </w:pPr>
      <w:r>
        <w:rPr>
          <w:rFonts w:ascii="Arial" w:cs="Arial" w:eastAsia="Arial" w:hAnsi="Arial"/>
          <w:sz w:val="22"/>
          <w:szCs w:val="22"/>
          <w:color w:val="auto"/>
        </w:rPr>
        <w:t>P.O. Box 15189</w:t>
      </w:r>
    </w:p>
    <w:p>
      <w:pPr>
        <w:ind w:left="40"/>
        <w:spacing w:after="0"/>
        <w:rPr>
          <w:sz w:val="20"/>
          <w:szCs w:val="20"/>
          <w:color w:val="auto"/>
        </w:rPr>
      </w:pPr>
      <w:r>
        <w:rPr>
          <w:rFonts w:ascii="Arial" w:cs="Arial" w:eastAsia="Arial" w:hAnsi="Arial"/>
          <w:sz w:val="22"/>
          <w:szCs w:val="22"/>
          <w:color w:val="auto"/>
        </w:rPr>
        <w:t>Springfield, MA 01115-5189</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Payments</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22"/>
          <w:szCs w:val="22"/>
          <w:color w:val="auto"/>
        </w:rPr>
        <w:t>Principal Amount and Series</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of Notes to Be Purchased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Arial" w:cs="Arial" w:eastAsia="Arial" w:hAnsi="Arial"/>
                <w:sz w:val="22"/>
                <w:szCs w:val="22"/>
                <w:color w:val="auto"/>
              </w:rPr>
              <w:t>Series B</w:t>
            </w:r>
          </w:p>
        </w:tc>
        <w:tc>
          <w:tcPr>
            <w:tcW w:w="2040" w:type="dxa"/>
            <w:vAlign w:val="bottom"/>
          </w:tcPr>
          <w:p>
            <w:pPr>
              <w:ind w:left="600"/>
              <w:spacing w:after="0"/>
              <w:rPr>
                <w:sz w:val="20"/>
                <w:szCs w:val="20"/>
                <w:color w:val="auto"/>
              </w:rPr>
            </w:pPr>
            <w:r>
              <w:rPr>
                <w:rFonts w:ascii="Arial" w:cs="Arial" w:eastAsia="Arial" w:hAnsi="Arial"/>
                <w:sz w:val="22"/>
                <w:szCs w:val="22"/>
                <w:color w:val="auto"/>
                <w:w w:val="89"/>
              </w:rPr>
              <w:t>U.S. $1,950,000</w:t>
            </w:r>
          </w:p>
        </w:tc>
      </w:tr>
      <w:tr>
        <w:trPr>
          <w:trHeight w:val="275"/>
        </w:trPr>
        <w:tc>
          <w:tcPr>
            <w:tcW w:w="1340" w:type="dxa"/>
            <w:vAlign w:val="bottom"/>
          </w:tcPr>
          <w:p>
            <w:pPr>
              <w:ind w:left="40"/>
              <w:spacing w:after="0"/>
              <w:rPr>
                <w:sz w:val="20"/>
                <w:szCs w:val="20"/>
                <w:color w:val="auto"/>
              </w:rPr>
            </w:pPr>
            <w:r>
              <w:rPr>
                <w:rFonts w:ascii="Arial" w:cs="Arial" w:eastAsia="Arial" w:hAnsi="Arial"/>
                <w:sz w:val="22"/>
                <w:szCs w:val="22"/>
                <w:color w:val="auto"/>
              </w:rPr>
              <w:t>Series C</w:t>
            </w:r>
          </w:p>
        </w:tc>
        <w:tc>
          <w:tcPr>
            <w:tcW w:w="2040" w:type="dxa"/>
            <w:vAlign w:val="bottom"/>
          </w:tcPr>
          <w:p>
            <w:pPr>
              <w:ind w:left="620"/>
              <w:spacing w:after="0"/>
              <w:rPr>
                <w:sz w:val="20"/>
                <w:szCs w:val="20"/>
                <w:color w:val="auto"/>
              </w:rPr>
            </w:pPr>
            <w:r>
              <w:rPr>
                <w:rFonts w:ascii="Arial" w:cs="Arial" w:eastAsia="Arial" w:hAnsi="Arial"/>
                <w:sz w:val="22"/>
                <w:szCs w:val="22"/>
                <w:color w:val="auto"/>
                <w:w w:val="88"/>
              </w:rPr>
              <w:t>U.S. $1,900,000</w:t>
            </w:r>
          </w:p>
        </w:tc>
      </w:tr>
    </w:tbl>
    <w:p>
      <w:pPr>
        <w:spacing w:after="0" w:line="1318" w:lineRule="exact"/>
        <w:rPr>
          <w:sz w:val="20"/>
          <w:szCs w:val="20"/>
          <w:color w:val="auto"/>
        </w:rPr>
      </w:pPr>
    </w:p>
    <w:p>
      <w:pPr>
        <w:sectPr>
          <w:pgSz w:w="11900" w:h="16838" w:orient="portrait"/>
          <w:cols w:equalWidth="0" w:num="2">
            <w:col w:w="6780" w:space="720"/>
            <w:col w:w="3920"/>
          </w:cols>
          <w:pgMar w:left="240" w:top="1293" w:right="239" w:bottom="1440" w:gutter="0" w:footer="0" w:header="0"/>
        </w:sectPr>
      </w:pPr>
    </w:p>
    <w:p>
      <w:pPr>
        <w:jc w:val="both"/>
        <w:spacing w:after="0" w:line="288" w:lineRule="auto"/>
        <w:rPr>
          <w:sz w:val="20"/>
          <w:szCs w:val="20"/>
          <w:color w:val="auto"/>
        </w:rPr>
      </w:pPr>
      <w:r>
        <w:rPr>
          <w:rFonts w:ascii="Arial" w:cs="Arial" w:eastAsia="Arial" w:hAnsi="Arial"/>
          <w:sz w:val="22"/>
          <w:szCs w:val="22"/>
          <w:color w:val="auto"/>
        </w:rPr>
        <w:t>All payments on account of the Note shall be made by crediting in the form of bank wire transfer of Federal or other immediately available funds, (identifying each payment as American Assets Trust, L.P., 4.45% Senior Guaranteed Notes, Series B, due February 2, 2025, PPN 02401@ AB5 and 4.50% Senior Guaranteed Notes, Series C, PPN 02401@ AC3, principal, premium or interest), to:</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Gerlach &amp; Co.</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Citibank, N.A.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Number 021000089</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Concentration Account 36112805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FFC: MassMutual Asia 849195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of Security/CUSIP Number</w:t>
      </w:r>
    </w:p>
    <w:p>
      <w:pPr>
        <w:spacing w:after="0" w:line="287"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 xml:space="preserve">With advice of payment to the Treasury Operations Liquidity Management Department at Massachusetts Mutual Life Insurance Company at </w:t>
      </w:r>
      <w:r>
        <w:rPr>
          <w:rFonts w:ascii="Arial" w:cs="Arial" w:eastAsia="Arial" w:hAnsi="Arial"/>
          <w:sz w:val="22"/>
          <w:szCs w:val="22"/>
          <w:u w:val="single" w:color="auto"/>
          <w:color w:val="auto"/>
        </w:rPr>
        <w:t>mmincometeam@massmutual.com</w:t>
      </w:r>
      <w:r>
        <w:rPr>
          <w:rFonts w:ascii="Arial" w:cs="Arial" w:eastAsia="Arial" w:hAnsi="Arial"/>
          <w:sz w:val="22"/>
          <w:szCs w:val="22"/>
          <w:color w:val="auto"/>
        </w:rPr>
        <w:t xml:space="preserve"> or (413) 226-4295 (facsimile).</w:t>
      </w:r>
    </w:p>
    <w:p>
      <w:pPr>
        <w:sectPr>
          <w:pgSz w:w="11900" w:h="16838" w:orient="portrait"/>
          <w:cols w:equalWidth="0" w:num="1">
            <w:col w:w="11420"/>
          </w:cols>
          <w:pgMar w:left="240" w:top="1293" w:right="239" w:bottom="1440" w:gutter="0" w:footer="0" w:header="0"/>
          <w:type w:val="continuous"/>
        </w:sectPr>
      </w:pPr>
    </w:p>
    <w:bookmarkStart w:id="183" w:name="page184"/>
    <w:bookmarkEnd w:id="183"/>
    <w:p>
      <w:pPr>
        <w:ind w:left="40"/>
        <w:spacing w:after="0"/>
        <w:rPr>
          <w:sz w:val="20"/>
          <w:szCs w:val="20"/>
          <w:color w:val="auto"/>
        </w:rPr>
      </w:pPr>
      <w:r>
        <w:rPr>
          <w:rFonts w:ascii="Arial" w:cs="Arial" w:eastAsia="Arial" w:hAnsi="Arial"/>
          <w:sz w:val="22"/>
          <w:szCs w:val="22"/>
          <w:b w:val="1"/>
          <w:bCs w:val="1"/>
          <w:u w:val="single" w:color="auto"/>
          <w:color w:val="auto"/>
        </w:rPr>
        <w:t>Notices</w:t>
      </w:r>
    </w:p>
    <w:p>
      <w:pPr>
        <w:spacing w:after="0" w:line="233" w:lineRule="exact"/>
        <w:rPr>
          <w:sz w:val="20"/>
          <w:szCs w:val="20"/>
          <w:color w:val="auto"/>
        </w:rPr>
      </w:pPr>
    </w:p>
    <w:p>
      <w:pPr>
        <w:ind w:left="360"/>
        <w:spacing w:after="0"/>
        <w:tabs>
          <w:tab w:leader="none" w:pos="5840" w:val="left"/>
        </w:tabs>
        <w:rPr>
          <w:sz w:val="20"/>
          <w:szCs w:val="20"/>
          <w:color w:val="auto"/>
        </w:rPr>
      </w:pPr>
      <w:r>
        <w:rPr>
          <w:rFonts w:ascii="Arial" w:cs="Arial" w:eastAsia="Arial" w:hAnsi="Arial"/>
          <w:sz w:val="22"/>
          <w:szCs w:val="22"/>
          <w:b w:val="1"/>
          <w:bCs w:val="1"/>
          <w:color w:val="auto"/>
        </w:rPr>
        <w:t>Send Communications and Notices to</w:t>
      </w:r>
      <w:r>
        <w:rPr>
          <w:sz w:val="20"/>
          <w:szCs w:val="20"/>
          <w:color w:val="auto"/>
        </w:rPr>
        <w:tab/>
      </w:r>
      <w:r>
        <w:rPr>
          <w:rFonts w:ascii="Arial" w:cs="Arial" w:eastAsia="Arial" w:hAnsi="Arial"/>
          <w:sz w:val="18"/>
          <w:szCs w:val="18"/>
          <w:b w:val="1"/>
          <w:bCs w:val="1"/>
          <w:color w:val="auto"/>
        </w:rPr>
        <w:t>Send Notices on Payments to</w:t>
      </w:r>
    </w:p>
    <w:p>
      <w:pPr>
        <w:sectPr>
          <w:pgSz w:w="11900" w:h="16838" w:orient="portrait"/>
          <w:cols w:equalWidth="0" w:num="1">
            <w:col w:w="10540"/>
          </w:cols>
          <w:pgMar w:left="240" w:top="814" w:right="1119" w:bottom="1440" w:gutter="0" w:footer="0" w:header="0"/>
        </w:sectPr>
      </w:pPr>
    </w:p>
    <w:p>
      <w:pPr>
        <w:spacing w:after="0" w:line="17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MassMutual Asia Limited</w:t>
      </w:r>
    </w:p>
    <w:p>
      <w:pPr>
        <w:spacing w:after="0" w:line="8" w:lineRule="exact"/>
        <w:rPr>
          <w:sz w:val="20"/>
          <w:szCs w:val="20"/>
          <w:color w:val="auto"/>
        </w:rPr>
      </w:pPr>
    </w:p>
    <w:p>
      <w:pPr>
        <w:ind w:left="360" w:right="1560"/>
        <w:spacing w:after="0" w:line="230" w:lineRule="auto"/>
        <w:rPr>
          <w:sz w:val="20"/>
          <w:szCs w:val="20"/>
          <w:color w:val="auto"/>
        </w:rPr>
      </w:pPr>
      <w:r>
        <w:rPr>
          <w:rFonts w:ascii="Arial" w:cs="Arial" w:eastAsia="Arial" w:hAnsi="Arial"/>
          <w:sz w:val="22"/>
          <w:szCs w:val="22"/>
          <w:color w:val="auto"/>
        </w:rPr>
        <w:t>c/o Babson Capital Management LLC 1500 Main Street – Suite 2200 PO Box 15189</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Springfield, MA 01115-5189</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MassMutual Asia Limited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Treasury Operations Liquidity Management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1295 State Street</w:t>
      </w:r>
    </w:p>
    <w:p>
      <w:pPr>
        <w:spacing w:after="0" w:line="230" w:lineRule="auto"/>
        <w:rPr>
          <w:sz w:val="20"/>
          <w:szCs w:val="20"/>
          <w:color w:val="auto"/>
        </w:rPr>
      </w:pPr>
      <w:r>
        <w:rPr>
          <w:rFonts w:ascii="Arial" w:cs="Arial" w:eastAsia="Arial" w:hAnsi="Arial"/>
          <w:sz w:val="22"/>
          <w:szCs w:val="22"/>
          <w:color w:val="auto"/>
        </w:rPr>
        <w:t>Springfield, MA 01111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Janelle Tarantino</w:t>
      </w:r>
    </w:p>
    <w:p>
      <w:pPr>
        <w:spacing w:after="0" w:line="4" w:lineRule="exact"/>
        <w:rPr>
          <w:sz w:val="20"/>
          <w:szCs w:val="20"/>
          <w:color w:val="auto"/>
        </w:rPr>
      </w:pPr>
    </w:p>
    <w:p>
      <w:pPr>
        <w:sectPr>
          <w:pgSz w:w="11900" w:h="16838" w:orient="portrait"/>
          <w:cols w:equalWidth="0" w:num="2">
            <w:col w:w="5200" w:space="720"/>
            <w:col w:w="4620"/>
          </w:cols>
          <w:pgMar w:left="240" w:top="814" w:right="1119" w:bottom="1440" w:gutter="0" w:footer="0" w:header="0"/>
          <w:type w:val="continuous"/>
        </w:sectPr>
      </w:pPr>
    </w:p>
    <w:p>
      <w:pPr>
        <w:ind w:left="360"/>
        <w:spacing w:after="0"/>
        <w:rPr>
          <w:sz w:val="20"/>
          <w:szCs w:val="20"/>
          <w:color w:val="auto"/>
        </w:rPr>
      </w:pPr>
      <w:r>
        <w:rPr>
          <w:rFonts w:ascii="Arial" w:cs="Arial" w:eastAsia="Arial" w:hAnsi="Arial"/>
          <w:sz w:val="19"/>
          <w:szCs w:val="19"/>
          <w:b w:val="1"/>
          <w:bCs w:val="1"/>
          <w:color w:val="auto"/>
        </w:rPr>
        <w:t xml:space="preserve">Electronic Delivery of Financials and other information to: </w:t>
      </w:r>
      <w:r>
        <w:rPr>
          <w:rFonts w:ascii="Arial" w:cs="Arial" w:eastAsia="Arial" w:hAnsi="Arial"/>
          <w:sz w:val="35"/>
          <w:szCs w:val="35"/>
          <w:b w:val="1"/>
          <w:bCs w:val="1"/>
          <w:color w:val="auto"/>
          <w:vertAlign w:val="subscript"/>
        </w:rPr>
        <w:t>With a copy to:</w:t>
      </w:r>
    </w:p>
    <w:p>
      <w:pPr>
        <w:sectPr>
          <w:pgSz w:w="11900" w:h="16838" w:orient="portrait"/>
          <w:cols w:equalWidth="0" w:num="1">
            <w:col w:w="10540"/>
          </w:cols>
          <w:pgMar w:left="240" w:top="814" w:right="1119" w:bottom="1440" w:gutter="0" w:footer="0" w:header="0"/>
          <w:type w:val="continuous"/>
        </w:sectPr>
      </w:pPr>
    </w:p>
    <w:p>
      <w:pPr>
        <w:spacing w:after="0" w:line="22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MassMutual Asia Limited</w:t>
      </w:r>
    </w:p>
    <w:p>
      <w:pPr>
        <w:spacing w:after="0" w:line="8" w:lineRule="exact"/>
        <w:rPr>
          <w:sz w:val="20"/>
          <w:szCs w:val="20"/>
          <w:color w:val="auto"/>
        </w:rPr>
      </w:pPr>
    </w:p>
    <w:p>
      <w:pPr>
        <w:ind w:left="360" w:right="1560"/>
        <w:spacing w:after="0" w:line="230" w:lineRule="auto"/>
        <w:rPr>
          <w:sz w:val="20"/>
          <w:szCs w:val="20"/>
          <w:color w:val="auto"/>
        </w:rPr>
      </w:pPr>
      <w:r>
        <w:rPr>
          <w:rFonts w:ascii="Arial" w:cs="Arial" w:eastAsia="Arial" w:hAnsi="Arial"/>
          <w:sz w:val="22"/>
          <w:szCs w:val="22"/>
          <w:color w:val="auto"/>
        </w:rPr>
        <w:t>c/o Babson Capital Management LLC 1500 Main Street – Suite 2200 PO Box 15189</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Springfield, MA 01115-5189</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With notification to:</w:t>
      </w:r>
    </w:p>
    <w:p>
      <w:pPr>
        <w:spacing w:after="0" w:line="14" w:lineRule="exact"/>
        <w:rPr>
          <w:sz w:val="20"/>
          <w:szCs w:val="20"/>
          <w:color w:val="auto"/>
        </w:rPr>
      </w:pPr>
    </w:p>
    <w:p>
      <w:pPr>
        <w:ind w:left="580" w:hanging="221"/>
        <w:spacing w:after="0"/>
        <w:tabs>
          <w:tab w:leader="none" w:pos="580"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privateplacements@babsoncapital.com</w:t>
      </w:r>
    </w:p>
    <w:p>
      <w:pPr>
        <w:spacing w:after="0" w:line="24" w:lineRule="exact"/>
        <w:rPr>
          <w:rFonts w:ascii="Arial" w:cs="Arial" w:eastAsia="Arial" w:hAnsi="Arial"/>
          <w:sz w:val="19"/>
          <w:szCs w:val="19"/>
          <w:color w:val="auto"/>
        </w:rPr>
      </w:pPr>
    </w:p>
    <w:p>
      <w:pPr>
        <w:ind w:left="580" w:hanging="221"/>
        <w:spacing w:after="0"/>
        <w:tabs>
          <w:tab w:leader="none" w:pos="58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mackerman@babsoncapital.com</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Send Corporate Action Notification to:</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MassMutual Asia Limited</w:t>
      </w:r>
    </w:p>
    <w:p>
      <w:pPr>
        <w:spacing w:after="0" w:line="8" w:lineRule="exact"/>
        <w:rPr>
          <w:sz w:val="20"/>
          <w:szCs w:val="20"/>
          <w:color w:val="auto"/>
        </w:rPr>
      </w:pPr>
    </w:p>
    <w:p>
      <w:pPr>
        <w:ind w:right="1320"/>
        <w:spacing w:after="0" w:line="230" w:lineRule="auto"/>
        <w:rPr>
          <w:sz w:val="20"/>
          <w:szCs w:val="20"/>
          <w:color w:val="auto"/>
        </w:rPr>
      </w:pPr>
      <w:r>
        <w:rPr>
          <w:rFonts w:ascii="Arial" w:cs="Arial" w:eastAsia="Arial" w:hAnsi="Arial"/>
          <w:sz w:val="22"/>
          <w:szCs w:val="22"/>
          <w:color w:val="auto"/>
        </w:rPr>
        <w:t>c/o Babson Capital Management LLC 1500 Main Street – Suite 2200 PO Box 15189</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Springfield, MA 01115</w:t>
      </w:r>
    </w:p>
    <w:p>
      <w:pPr>
        <w:spacing w:after="0" w:line="1893" w:lineRule="exact"/>
        <w:rPr>
          <w:sz w:val="20"/>
          <w:szCs w:val="20"/>
          <w:color w:val="auto"/>
        </w:rPr>
      </w:pPr>
    </w:p>
    <w:p>
      <w:pPr>
        <w:sectPr>
          <w:pgSz w:w="11900" w:h="16838" w:orient="portrait"/>
          <w:cols w:equalWidth="0" w:num="2">
            <w:col w:w="5200" w:space="720"/>
            <w:col w:w="4620"/>
          </w:cols>
          <w:pgMar w:left="240" w:top="814" w:right="111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Securities Services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Attn: Corporate Action Dept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3800 Citibank Center Tampa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Building B Floor 3</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Tampa, FL 33610-9122</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Registration of Securities</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All securities should be registered in Citibank's nominee name of Gerlach &amp; Co. and sent to one of the following address:</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For delivery by mail or overnight courier:</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Citibank NA</w:t>
      </w:r>
    </w:p>
    <w:p>
      <w:pPr>
        <w:sectPr>
          <w:pgSz w:w="11900" w:h="16838" w:orient="portrait"/>
          <w:cols w:equalWidth="0" w:num="1">
            <w:col w:w="10540"/>
          </w:cols>
          <w:pgMar w:left="240" w:top="814" w:right="111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22"/>
          <w:szCs w:val="22"/>
          <w:i w:val="1"/>
          <w:iCs w:val="1"/>
          <w:color w:val="auto"/>
        </w:rPr>
        <w:t>399 Park Avenue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Level B Vault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New York, NY 10022</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Acct. #849195</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With a copy to: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Peter Mugo, Counsel</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Babson Capital Management LLC</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1500 Main Street, Suite 2800</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Springfield, MA 01115-5189</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Telephone: 413-226-0632</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Facsimile: 413-226-3632</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E-mail: </w:t>
      </w:r>
      <w:r>
        <w:rPr>
          <w:rFonts w:ascii="Arial" w:cs="Arial" w:eastAsia="Arial" w:hAnsi="Arial"/>
          <w:sz w:val="19"/>
          <w:szCs w:val="19"/>
          <w:i w:val="1"/>
          <w:iCs w:val="1"/>
          <w:u w:val="single" w:color="auto"/>
          <w:color w:val="auto"/>
        </w:rPr>
        <w:t>pmugo@babsoncapital.com</w:t>
      </w:r>
    </w:p>
    <w:p>
      <w:pPr>
        <w:sectPr>
          <w:pgSz w:w="11900" w:h="16838" w:orient="portrait"/>
          <w:cols w:equalWidth="0" w:num="1">
            <w:col w:w="9559"/>
          </w:cols>
          <w:pgMar w:left="900" w:top="685" w:right="1440" w:bottom="1440" w:gutter="0" w:footer="0" w:header="0"/>
        </w:sectPr>
      </w:pPr>
    </w:p>
    <w:bookmarkStart w:id="185" w:name="page186"/>
    <w:bookmarkEnd w:id="185"/>
    <w:tbl>
      <w:tblPr>
        <w:tblLayout w:type="fixed"/>
        <w:tblInd w:w="40" w:type="dxa"/>
        <w:tblCellMar>
          <w:top w:w="0" w:type="dxa"/>
          <w:left w:w="0" w:type="dxa"/>
          <w:bottom w:w="0" w:type="dxa"/>
          <w:right w:w="0" w:type="dxa"/>
        </w:tblCellMar>
      </w:tblPr>
      <w:tr>
        <w:trPr>
          <w:trHeight w:val="253"/>
        </w:trPr>
        <w:tc>
          <w:tcPr>
            <w:tcW w:w="6120" w:type="dxa"/>
            <w:vAlign w:val="bottom"/>
          </w:tcPr>
          <w:p>
            <w:pPr>
              <w:spacing w:after="0"/>
              <w:rPr>
                <w:sz w:val="21"/>
                <w:szCs w:val="21"/>
                <w:color w:val="auto"/>
              </w:rPr>
            </w:pPr>
          </w:p>
        </w:tc>
        <w:tc>
          <w:tcPr>
            <w:tcW w:w="4740" w:type="dxa"/>
            <w:vAlign w:val="bottom"/>
            <w:gridSpan w:val="2"/>
          </w:tcPr>
          <w:p>
            <w:pPr>
              <w:jc w:val="center"/>
              <w:ind w:left="1072"/>
              <w:spacing w:after="0"/>
              <w:rPr>
                <w:sz w:val="20"/>
                <w:szCs w:val="20"/>
                <w:color w:val="auto"/>
              </w:rPr>
            </w:pPr>
            <w:r>
              <w:rPr>
                <w:rFonts w:ascii="Arial" w:cs="Arial" w:eastAsia="Arial" w:hAnsi="Arial"/>
                <w:sz w:val="22"/>
                <w:szCs w:val="22"/>
                <w:color w:val="auto"/>
                <w:w w:val="89"/>
              </w:rPr>
              <w:t>Principal Amount and Series</w:t>
            </w:r>
          </w:p>
        </w:tc>
      </w:tr>
      <w:tr>
        <w:trPr>
          <w:trHeight w:val="275"/>
        </w:trPr>
        <w:tc>
          <w:tcPr>
            <w:tcW w:w="6120" w:type="dxa"/>
            <w:vAlign w:val="bottom"/>
          </w:tcPr>
          <w:p>
            <w:pPr>
              <w:ind w:left="2000"/>
              <w:spacing w:after="0"/>
              <w:rPr>
                <w:sz w:val="20"/>
                <w:szCs w:val="20"/>
                <w:color w:val="auto"/>
              </w:rPr>
            </w:pPr>
            <w:r>
              <w:rPr>
                <w:rFonts w:ascii="Arial" w:cs="Arial" w:eastAsia="Arial" w:hAnsi="Arial"/>
                <w:sz w:val="22"/>
                <w:szCs w:val="22"/>
                <w:color w:val="auto"/>
              </w:rPr>
              <w:t>Name and Address of Purchaser</w:t>
            </w:r>
          </w:p>
        </w:tc>
        <w:tc>
          <w:tcPr>
            <w:tcW w:w="4740" w:type="dxa"/>
            <w:vAlign w:val="bottom"/>
            <w:gridSpan w:val="2"/>
          </w:tcPr>
          <w:p>
            <w:pPr>
              <w:jc w:val="center"/>
              <w:ind w:left="1112"/>
              <w:spacing w:after="0"/>
              <w:rPr>
                <w:sz w:val="20"/>
                <w:szCs w:val="20"/>
                <w:color w:val="auto"/>
              </w:rPr>
            </w:pPr>
            <w:r>
              <w:rPr>
                <w:rFonts w:ascii="Arial" w:cs="Arial" w:eastAsia="Arial" w:hAnsi="Arial"/>
                <w:sz w:val="22"/>
                <w:szCs w:val="22"/>
                <w:color w:val="auto"/>
                <w:w w:val="87"/>
              </w:rPr>
              <w:t>of Notes to Be Purchased</w:t>
            </w:r>
          </w:p>
        </w:tc>
      </w:tr>
      <w:tr>
        <w:trPr>
          <w:trHeight w:val="482"/>
        </w:trPr>
        <w:tc>
          <w:tcPr>
            <w:tcW w:w="6120" w:type="dxa"/>
            <w:vAlign w:val="bottom"/>
          </w:tcPr>
          <w:p>
            <w:pPr>
              <w:spacing w:after="0"/>
              <w:rPr>
                <w:sz w:val="20"/>
                <w:szCs w:val="20"/>
                <w:color w:val="auto"/>
              </w:rPr>
            </w:pPr>
            <w:r>
              <w:rPr>
                <w:rFonts w:ascii="Arial" w:cs="Arial" w:eastAsia="Arial" w:hAnsi="Arial"/>
                <w:sz w:val="22"/>
                <w:szCs w:val="22"/>
                <w:b w:val="1"/>
                <w:bCs w:val="1"/>
                <w:color w:val="auto"/>
              </w:rPr>
              <w:t>THE GUARDIAN LIFE INSURANCE COMPANY</w:t>
            </w:r>
          </w:p>
        </w:tc>
        <w:tc>
          <w:tcPr>
            <w:tcW w:w="2660" w:type="dxa"/>
            <w:vAlign w:val="bottom"/>
          </w:tcPr>
          <w:p>
            <w:pPr>
              <w:ind w:left="1340"/>
              <w:spacing w:after="0"/>
              <w:rPr>
                <w:sz w:val="20"/>
                <w:szCs w:val="20"/>
                <w:color w:val="auto"/>
              </w:rPr>
            </w:pPr>
            <w:r>
              <w:rPr>
                <w:rFonts w:ascii="Arial" w:cs="Arial" w:eastAsia="Arial" w:hAnsi="Arial"/>
                <w:sz w:val="22"/>
                <w:szCs w:val="22"/>
                <w:color w:val="auto"/>
              </w:rPr>
              <w:t>Series A</w:t>
            </w:r>
          </w:p>
        </w:tc>
        <w:tc>
          <w:tcPr>
            <w:tcW w:w="2080" w:type="dxa"/>
            <w:vAlign w:val="bottom"/>
          </w:tcPr>
          <w:p>
            <w:pPr>
              <w:jc w:val="center"/>
              <w:ind w:left="452"/>
              <w:spacing w:after="0"/>
              <w:rPr>
                <w:sz w:val="20"/>
                <w:szCs w:val="20"/>
                <w:color w:val="auto"/>
              </w:rPr>
            </w:pPr>
            <w:r>
              <w:rPr>
                <w:rFonts w:ascii="Arial" w:cs="Arial" w:eastAsia="Arial" w:hAnsi="Arial"/>
                <w:sz w:val="22"/>
                <w:szCs w:val="22"/>
                <w:color w:val="auto"/>
                <w:w w:val="88"/>
              </w:rPr>
              <w:t>U.S. $16,000,000</w:t>
            </w:r>
          </w:p>
        </w:tc>
      </w:tr>
      <w:tr>
        <w:trPr>
          <w:trHeight w:val="243"/>
        </w:trPr>
        <w:tc>
          <w:tcPr>
            <w:tcW w:w="6120" w:type="dxa"/>
            <w:vAlign w:val="bottom"/>
          </w:tcPr>
          <w:p>
            <w:pPr>
              <w:ind w:left="100"/>
              <w:spacing w:after="0" w:line="243" w:lineRule="exact"/>
              <w:rPr>
                <w:sz w:val="20"/>
                <w:szCs w:val="20"/>
                <w:color w:val="auto"/>
              </w:rPr>
            </w:pPr>
            <w:r>
              <w:rPr>
                <w:rFonts w:ascii="Arial" w:cs="Arial" w:eastAsia="Arial" w:hAnsi="Arial"/>
                <w:sz w:val="22"/>
                <w:szCs w:val="22"/>
                <w:b w:val="1"/>
                <w:bCs w:val="1"/>
                <w:color w:val="auto"/>
              </w:rPr>
              <w:t>OF AMERICA</w:t>
            </w:r>
          </w:p>
        </w:tc>
        <w:tc>
          <w:tcPr>
            <w:tcW w:w="2660" w:type="dxa"/>
            <w:vAlign w:val="bottom"/>
          </w:tcPr>
          <w:p>
            <w:pPr>
              <w:ind w:left="1340"/>
              <w:spacing w:after="0" w:line="243" w:lineRule="exact"/>
              <w:rPr>
                <w:sz w:val="20"/>
                <w:szCs w:val="20"/>
                <w:color w:val="auto"/>
              </w:rPr>
            </w:pPr>
            <w:r>
              <w:rPr>
                <w:rFonts w:ascii="Arial" w:cs="Arial" w:eastAsia="Arial" w:hAnsi="Arial"/>
                <w:sz w:val="22"/>
                <w:szCs w:val="22"/>
                <w:color w:val="auto"/>
              </w:rPr>
              <w:t>Series B</w:t>
            </w:r>
          </w:p>
        </w:tc>
        <w:tc>
          <w:tcPr>
            <w:tcW w:w="2080" w:type="dxa"/>
            <w:vAlign w:val="bottom"/>
          </w:tcPr>
          <w:p>
            <w:pPr>
              <w:jc w:val="center"/>
              <w:ind w:left="452"/>
              <w:spacing w:after="0" w:line="243" w:lineRule="exact"/>
              <w:rPr>
                <w:sz w:val="20"/>
                <w:szCs w:val="20"/>
                <w:color w:val="auto"/>
              </w:rPr>
            </w:pPr>
            <w:r>
              <w:rPr>
                <w:rFonts w:ascii="Arial" w:cs="Arial" w:eastAsia="Arial" w:hAnsi="Arial"/>
                <w:sz w:val="22"/>
                <w:szCs w:val="22"/>
                <w:color w:val="auto"/>
                <w:w w:val="88"/>
              </w:rPr>
              <w:t>U.S. $5,000,000</w:t>
            </w:r>
          </w:p>
        </w:tc>
      </w:tr>
      <w:tr>
        <w:trPr>
          <w:trHeight w:val="288"/>
        </w:trPr>
        <w:tc>
          <w:tcPr>
            <w:tcW w:w="6120" w:type="dxa"/>
            <w:vAlign w:val="bottom"/>
          </w:tcPr>
          <w:p>
            <w:pPr>
              <w:spacing w:after="0"/>
              <w:rPr>
                <w:sz w:val="20"/>
                <w:szCs w:val="20"/>
                <w:color w:val="auto"/>
              </w:rPr>
            </w:pPr>
            <w:r>
              <w:rPr>
                <w:rFonts w:ascii="Arial" w:cs="Arial" w:eastAsia="Arial" w:hAnsi="Arial"/>
                <w:sz w:val="22"/>
                <w:szCs w:val="22"/>
                <w:color w:val="auto"/>
              </w:rPr>
              <w:t>7 Hanover Square</w:t>
            </w:r>
          </w:p>
        </w:tc>
        <w:tc>
          <w:tcPr>
            <w:tcW w:w="2660" w:type="dxa"/>
            <w:vAlign w:val="bottom"/>
          </w:tcPr>
          <w:p>
            <w:pPr>
              <w:ind w:left="1380"/>
              <w:spacing w:after="0"/>
              <w:rPr>
                <w:sz w:val="20"/>
                <w:szCs w:val="20"/>
                <w:color w:val="auto"/>
              </w:rPr>
            </w:pPr>
            <w:r>
              <w:rPr>
                <w:rFonts w:ascii="Arial" w:cs="Arial" w:eastAsia="Arial" w:hAnsi="Arial"/>
                <w:sz w:val="22"/>
                <w:szCs w:val="22"/>
                <w:color w:val="auto"/>
              </w:rPr>
              <w:t>Series C</w:t>
            </w:r>
          </w:p>
        </w:tc>
        <w:tc>
          <w:tcPr>
            <w:tcW w:w="2080" w:type="dxa"/>
            <w:vAlign w:val="bottom"/>
          </w:tcPr>
          <w:p>
            <w:pPr>
              <w:jc w:val="center"/>
              <w:ind w:left="512"/>
              <w:spacing w:after="0"/>
              <w:rPr>
                <w:sz w:val="20"/>
                <w:szCs w:val="20"/>
                <w:color w:val="auto"/>
              </w:rPr>
            </w:pPr>
            <w:r>
              <w:rPr>
                <w:rFonts w:ascii="Arial" w:cs="Arial" w:eastAsia="Arial" w:hAnsi="Arial"/>
                <w:sz w:val="22"/>
                <w:szCs w:val="22"/>
                <w:color w:val="auto"/>
                <w:w w:val="89"/>
              </w:rPr>
              <w:t>U.S. $5,000,000</w:t>
            </w:r>
          </w:p>
        </w:tc>
      </w:tr>
    </w:tbl>
    <w:p>
      <w:pPr>
        <w:ind w:left="40"/>
        <w:spacing w:after="0" w:line="230" w:lineRule="auto"/>
        <w:rPr>
          <w:sz w:val="20"/>
          <w:szCs w:val="20"/>
          <w:color w:val="auto"/>
        </w:rPr>
      </w:pPr>
      <w:r>
        <w:rPr>
          <w:rFonts w:ascii="Arial" w:cs="Arial" w:eastAsia="Arial" w:hAnsi="Arial"/>
          <w:sz w:val="22"/>
          <w:szCs w:val="22"/>
          <w:color w:val="auto"/>
        </w:rPr>
        <w:t>New York, NY 10004-2616</w:t>
      </w:r>
    </w:p>
    <w:p>
      <w:pPr>
        <w:ind w:left="40"/>
        <w:spacing w:after="0" w:line="231" w:lineRule="auto"/>
        <w:rPr>
          <w:sz w:val="20"/>
          <w:szCs w:val="20"/>
          <w:color w:val="auto"/>
        </w:rPr>
      </w:pPr>
      <w:r>
        <w:rPr>
          <w:rFonts w:ascii="Arial" w:cs="Arial" w:eastAsia="Arial" w:hAnsi="Arial"/>
          <w:sz w:val="22"/>
          <w:szCs w:val="22"/>
          <w:color w:val="auto"/>
        </w:rPr>
        <w:t>Attn: Barry Scheinholtz</w:t>
      </w:r>
    </w:p>
    <w:p>
      <w:pPr>
        <w:ind w:left="40"/>
        <w:spacing w:after="0" w:line="230" w:lineRule="auto"/>
        <w:rPr>
          <w:sz w:val="20"/>
          <w:szCs w:val="20"/>
          <w:color w:val="auto"/>
        </w:rPr>
      </w:pPr>
      <w:r>
        <w:rPr>
          <w:rFonts w:ascii="Arial" w:cs="Arial" w:eastAsia="Arial" w:hAnsi="Arial"/>
          <w:sz w:val="22"/>
          <w:szCs w:val="22"/>
          <w:color w:val="auto"/>
        </w:rPr>
        <w:t>Investment Department 9-A</w:t>
      </w:r>
    </w:p>
    <w:p>
      <w:pPr>
        <w:ind w:left="40"/>
        <w:spacing w:after="0" w:line="231" w:lineRule="auto"/>
        <w:rPr>
          <w:sz w:val="20"/>
          <w:szCs w:val="20"/>
          <w:color w:val="auto"/>
        </w:rPr>
      </w:pPr>
      <w:r>
        <w:rPr>
          <w:rFonts w:ascii="Arial" w:cs="Arial" w:eastAsia="Arial" w:hAnsi="Arial"/>
          <w:sz w:val="22"/>
          <w:szCs w:val="22"/>
          <w:color w:val="auto"/>
        </w:rPr>
        <w:t>Fax # (212) 919-2658</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Email address: bscheinholtz@glic.com</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 by wire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JP Morgan Chase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FED ABA #021000021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Chase/NYC/CTR/BNF</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 900-9-000200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Reference A/C #G05978, Guardian Life, CUSIP # 02401@ AA7 (Series 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CUSIP # 02401@ AB5 (Series B), and CUSIP # 02401@ AC3 (Series C), American Assets Trust, L.P.</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Address for all communications and notices: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Guardian Life Insurance Company of America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 Hanover Square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10004-2616</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Barry Scheinholtz</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Investment Department 9-A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 (212) 919-2658</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address: bscheinholtz@glic.com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Notes to be registered in the name of: The Guardian Life Insurance Company of America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TAX ID NO. 13-5123390</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Deliver Note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JP Morgan Chase Bank, N.A.</w:t>
      </w:r>
    </w:p>
    <w:p>
      <w:pPr>
        <w:sectPr>
          <w:pgSz w:w="11900" w:h="16838" w:orient="portrait"/>
          <w:cols w:equalWidth="0" w:num="1">
            <w:col w:w="10900"/>
          </w:cols>
          <w:pgMar w:left="240" w:top="1283" w:right="75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i w:val="1"/>
          <w:iCs w:val="1"/>
          <w:color w:val="auto"/>
        </w:rPr>
        <w:t>4 Chase Metrotech Center – 3</w:t>
      </w:r>
      <w:r>
        <w:rPr>
          <w:rFonts w:ascii="Arial" w:cs="Arial" w:eastAsia="Arial" w:hAnsi="Arial"/>
          <w:sz w:val="26"/>
          <w:szCs w:val="26"/>
          <w:i w:val="1"/>
          <w:iCs w:val="1"/>
          <w:color w:val="auto"/>
          <w:vertAlign w:val="superscript"/>
        </w:rPr>
        <w:t>rd</w:t>
      </w:r>
      <w:r>
        <w:rPr>
          <w:rFonts w:ascii="Arial" w:cs="Arial" w:eastAsia="Arial" w:hAnsi="Arial"/>
          <w:sz w:val="20"/>
          <w:szCs w:val="20"/>
          <w:i w:val="1"/>
          <w:iCs w:val="1"/>
          <w:color w:val="auto"/>
        </w:rPr>
        <w:t xml:space="preserve"> Floor</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Brooklyn, NY 11245-0001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Reference A/C #G05978, Guardian Life</w:t>
      </w:r>
    </w:p>
    <w:p>
      <w:pPr>
        <w:sectPr>
          <w:pgSz w:w="11900" w:h="16838" w:orient="portrait"/>
          <w:cols w:equalWidth="0" w:num="1">
            <w:col w:w="9559"/>
          </w:cols>
          <w:pgMar w:left="900" w:top="661" w:right="1440" w:bottom="1440" w:gutter="0" w:footer="0" w:header="0"/>
        </w:sectPr>
      </w:pPr>
    </w:p>
    <w:bookmarkStart w:id="187" w:name="page188"/>
    <w:bookmarkEnd w:id="187"/>
    <w:p>
      <w:pPr>
        <w:spacing w:after="0" w:line="24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Name and Address of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Principal Amount and Series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of Notes to Be Purchased</w:t>
      </w:r>
    </w:p>
    <w:p>
      <w:pPr>
        <w:spacing w:after="0" w:line="200" w:lineRule="exact"/>
        <w:rPr>
          <w:sz w:val="20"/>
          <w:szCs w:val="20"/>
          <w:color w:val="auto"/>
        </w:rPr>
      </w:pPr>
    </w:p>
    <w:p>
      <w:pPr>
        <w:sectPr>
          <w:pgSz w:w="11900" w:h="16838" w:orient="portrait"/>
          <w:cols w:equalWidth="0" w:num="2">
            <w:col w:w="7160" w:space="720"/>
            <w:col w:w="3000"/>
          </w:cols>
          <w:pgMar w:left="240" w:top="1293" w:right="779" w:bottom="1440" w:gutter="0" w:footer="0" w:header="0"/>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THE GUARDIAN INSURANCE &amp; ANNUITY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Series 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U.S. $2,000,000</w:t>
      </w:r>
    </w:p>
    <w:p>
      <w:pPr>
        <w:spacing w:after="0" w:line="59" w:lineRule="exact"/>
        <w:rPr>
          <w:sz w:val="20"/>
          <w:szCs w:val="20"/>
          <w:color w:val="auto"/>
        </w:rPr>
      </w:pPr>
    </w:p>
    <w:p>
      <w:pPr>
        <w:sectPr>
          <w:pgSz w:w="11900" w:h="16838" w:orient="portrait"/>
          <w:cols w:equalWidth="0" w:num="3">
            <w:col w:w="6800" w:space="720"/>
            <w:col w:w="1220" w:space="720"/>
            <w:col w:w="1420"/>
          </w:cols>
          <w:pgMar w:left="240" w:top="1293" w:right="779" w:bottom="1440" w:gutter="0" w:footer="0" w:header="0"/>
          <w:type w:val="continuous"/>
        </w:sectPr>
      </w:pPr>
    </w:p>
    <w:p>
      <w:pPr>
        <w:ind w:left="140"/>
        <w:spacing w:after="0"/>
        <w:rPr>
          <w:sz w:val="20"/>
          <w:szCs w:val="20"/>
          <w:color w:val="auto"/>
        </w:rPr>
      </w:pPr>
      <w:r>
        <w:rPr>
          <w:rFonts w:ascii="Arial" w:cs="Arial" w:eastAsia="Arial" w:hAnsi="Arial"/>
          <w:sz w:val="22"/>
          <w:szCs w:val="22"/>
          <w:b w:val="1"/>
          <w:bCs w:val="1"/>
          <w:color w:val="auto"/>
        </w:rPr>
        <w:t>COMPANY, INC.</w:t>
      </w:r>
    </w:p>
    <w:p>
      <w:pPr>
        <w:ind w:left="40"/>
        <w:spacing w:after="0" w:line="230" w:lineRule="auto"/>
        <w:rPr>
          <w:sz w:val="20"/>
          <w:szCs w:val="20"/>
          <w:color w:val="auto"/>
        </w:rPr>
      </w:pPr>
      <w:r>
        <w:rPr>
          <w:rFonts w:ascii="Arial" w:cs="Arial" w:eastAsia="Arial" w:hAnsi="Arial"/>
          <w:sz w:val="22"/>
          <w:szCs w:val="22"/>
          <w:color w:val="auto"/>
        </w:rPr>
        <w:t>c/o The Guardian Life Insurance Company of America</w:t>
      </w:r>
    </w:p>
    <w:p>
      <w:pPr>
        <w:ind w:left="40"/>
        <w:spacing w:after="0" w:line="231" w:lineRule="auto"/>
        <w:rPr>
          <w:sz w:val="20"/>
          <w:szCs w:val="20"/>
          <w:color w:val="auto"/>
        </w:rPr>
      </w:pPr>
      <w:r>
        <w:rPr>
          <w:rFonts w:ascii="Arial" w:cs="Arial" w:eastAsia="Arial" w:hAnsi="Arial"/>
          <w:sz w:val="22"/>
          <w:szCs w:val="22"/>
          <w:color w:val="auto"/>
        </w:rPr>
        <w:t>7 Hanover Square</w:t>
      </w:r>
    </w:p>
    <w:p>
      <w:pPr>
        <w:ind w:left="40"/>
        <w:spacing w:after="0" w:line="230" w:lineRule="auto"/>
        <w:rPr>
          <w:sz w:val="20"/>
          <w:szCs w:val="20"/>
          <w:color w:val="auto"/>
        </w:rPr>
      </w:pPr>
      <w:r>
        <w:rPr>
          <w:rFonts w:ascii="Arial" w:cs="Arial" w:eastAsia="Arial" w:hAnsi="Arial"/>
          <w:sz w:val="22"/>
          <w:szCs w:val="22"/>
          <w:color w:val="auto"/>
        </w:rPr>
        <w:t>New York, NY 10004-2616</w:t>
      </w:r>
    </w:p>
    <w:p>
      <w:pPr>
        <w:ind w:left="40"/>
        <w:spacing w:after="0" w:line="231" w:lineRule="auto"/>
        <w:rPr>
          <w:sz w:val="20"/>
          <w:szCs w:val="20"/>
          <w:color w:val="auto"/>
        </w:rPr>
      </w:pPr>
      <w:r>
        <w:rPr>
          <w:rFonts w:ascii="Arial" w:cs="Arial" w:eastAsia="Arial" w:hAnsi="Arial"/>
          <w:sz w:val="22"/>
          <w:szCs w:val="22"/>
          <w:color w:val="auto"/>
        </w:rPr>
        <w:t>Attn: Barry Scheinholtz</w:t>
      </w:r>
    </w:p>
    <w:p>
      <w:pPr>
        <w:ind w:left="40"/>
        <w:spacing w:after="0" w:line="231" w:lineRule="auto"/>
        <w:rPr>
          <w:sz w:val="20"/>
          <w:szCs w:val="20"/>
          <w:color w:val="auto"/>
        </w:rPr>
      </w:pPr>
      <w:r>
        <w:rPr>
          <w:rFonts w:ascii="Arial" w:cs="Arial" w:eastAsia="Arial" w:hAnsi="Arial"/>
          <w:sz w:val="22"/>
          <w:szCs w:val="22"/>
          <w:color w:val="auto"/>
        </w:rPr>
        <w:t>Investment Department 9-A</w:t>
      </w:r>
    </w:p>
    <w:p>
      <w:pPr>
        <w:ind w:left="40"/>
        <w:spacing w:after="0" w:line="230" w:lineRule="auto"/>
        <w:rPr>
          <w:sz w:val="20"/>
          <w:szCs w:val="20"/>
          <w:color w:val="auto"/>
        </w:rPr>
      </w:pPr>
      <w:r>
        <w:rPr>
          <w:rFonts w:ascii="Arial" w:cs="Arial" w:eastAsia="Arial" w:hAnsi="Arial"/>
          <w:sz w:val="22"/>
          <w:szCs w:val="22"/>
          <w:color w:val="auto"/>
        </w:rPr>
        <w:t>Fax # (212) 919-2658</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Email address: bscheinholtz@glic.com</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 by wire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JP Morgan Chase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FED ABA #021000021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Chase/NYC/CTR/BNF</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 900-9-000200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Reference A/C # G01713, GIAC Fixed Payout, CUSIP # 02401@ AA7, American Assets Trust, L.P.</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Address for all communications and notices: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Guardian Insurance &amp; Annuity Company, Inc.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The Guardian Life Insurance Company of America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 Hanover Square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10004-2616</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Barry Scheinholtz</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Investment Department 9-A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 (212) 919-2658</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address: bscheinholtz@glic.com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Notes to be registered in the name of: The Guardian Insurance &amp; Annuity Company, Inc.</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TAX ID NO. 13-2656036</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Deliver Note to:</w:t>
      </w:r>
    </w:p>
    <w:p>
      <w:pPr>
        <w:sectPr>
          <w:pgSz w:w="11900" w:h="16838" w:orient="portrait"/>
          <w:cols w:equalWidth="0" w:num="1">
            <w:col w:w="10880"/>
          </w:cols>
          <w:pgMar w:left="240" w:top="1293" w:right="779" w:bottom="1440" w:gutter="0" w:footer="0" w:header="0"/>
          <w:type w:val="continuous"/>
        </w:sectPr>
      </w:pPr>
    </w:p>
    <w:bookmarkStart w:id="188" w:name="page189"/>
    <w:bookmarkEnd w:id="188"/>
    <w:p>
      <w:pPr>
        <w:spacing w:after="0"/>
        <w:rPr>
          <w:sz w:val="20"/>
          <w:szCs w:val="20"/>
          <w:color w:val="auto"/>
        </w:rPr>
      </w:pPr>
      <w:r>
        <w:rPr>
          <w:rFonts w:ascii="Arial" w:cs="Arial" w:eastAsia="Arial" w:hAnsi="Arial"/>
          <w:sz w:val="22"/>
          <w:szCs w:val="22"/>
          <w:i w:val="1"/>
          <w:iCs w:val="1"/>
          <w:color w:val="auto"/>
        </w:rPr>
        <w:t>JP 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4 Chase Metrotech Center – 3</w:t>
      </w:r>
      <w:r>
        <w:rPr>
          <w:rFonts w:ascii="Arial" w:cs="Arial" w:eastAsia="Arial" w:hAnsi="Arial"/>
          <w:sz w:val="28"/>
          <w:szCs w:val="28"/>
          <w:i w:val="1"/>
          <w:iCs w:val="1"/>
          <w:color w:val="auto"/>
          <w:vertAlign w:val="superscript"/>
        </w:rPr>
        <w:t>rd</w:t>
      </w:r>
      <w:r>
        <w:rPr>
          <w:rFonts w:ascii="Arial" w:cs="Arial" w:eastAsia="Arial" w:hAnsi="Arial"/>
          <w:sz w:val="22"/>
          <w:szCs w:val="22"/>
          <w:i w:val="1"/>
          <w:iCs w:val="1"/>
          <w:color w:val="auto"/>
        </w:rPr>
        <w:t xml:space="preserve"> Floor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Brooklyn, NY 11245-0001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Reference A/C # G01713, GIAC Fixed Payout</w:t>
      </w:r>
    </w:p>
    <w:p>
      <w:pPr>
        <w:sectPr>
          <w:pgSz w:w="11900" w:h="16838" w:orient="portrait"/>
          <w:cols w:equalWidth="0" w:num="1">
            <w:col w:w="9559"/>
          </w:cols>
          <w:pgMar w:left="900" w:top="929" w:right="1440" w:bottom="1440" w:gutter="0" w:footer="0" w:header="0"/>
        </w:sectPr>
      </w:pPr>
    </w:p>
    <w:bookmarkStart w:id="189" w:name="page190"/>
    <w:bookmarkEnd w:id="189"/>
    <w:tbl>
      <w:tblPr>
        <w:tblLayout w:type="fixed"/>
        <w:tblInd w:w="40" w:type="dxa"/>
        <w:tblCellMar>
          <w:top w:w="0" w:type="dxa"/>
          <w:left w:w="0" w:type="dxa"/>
          <w:bottom w:w="0" w:type="dxa"/>
          <w:right w:w="0" w:type="dxa"/>
        </w:tblCellMar>
      </w:tblPr>
      <w:tr>
        <w:trPr>
          <w:trHeight w:val="253"/>
        </w:trPr>
        <w:tc>
          <w:tcPr>
            <w:tcW w:w="6160" w:type="dxa"/>
            <w:vAlign w:val="bottom"/>
          </w:tcPr>
          <w:p>
            <w:pPr>
              <w:spacing w:after="0"/>
              <w:rPr>
                <w:sz w:val="21"/>
                <w:szCs w:val="21"/>
                <w:color w:val="auto"/>
              </w:rPr>
            </w:pPr>
          </w:p>
        </w:tc>
        <w:tc>
          <w:tcPr>
            <w:tcW w:w="4740" w:type="dxa"/>
            <w:vAlign w:val="bottom"/>
            <w:gridSpan w:val="2"/>
          </w:tcPr>
          <w:p>
            <w:pPr>
              <w:jc w:val="center"/>
              <w:ind w:left="992"/>
              <w:spacing w:after="0"/>
              <w:rPr>
                <w:sz w:val="20"/>
                <w:szCs w:val="20"/>
                <w:color w:val="auto"/>
              </w:rPr>
            </w:pPr>
            <w:r>
              <w:rPr>
                <w:rFonts w:ascii="Arial" w:cs="Arial" w:eastAsia="Arial" w:hAnsi="Arial"/>
                <w:sz w:val="22"/>
                <w:szCs w:val="22"/>
                <w:color w:val="auto"/>
                <w:w w:val="89"/>
              </w:rPr>
              <w:t>Principal Amount and Series</w:t>
            </w:r>
          </w:p>
        </w:tc>
      </w:tr>
      <w:tr>
        <w:trPr>
          <w:trHeight w:val="275"/>
        </w:trPr>
        <w:tc>
          <w:tcPr>
            <w:tcW w:w="6160" w:type="dxa"/>
            <w:vAlign w:val="bottom"/>
          </w:tcPr>
          <w:p>
            <w:pPr>
              <w:ind w:left="2000"/>
              <w:spacing w:after="0"/>
              <w:rPr>
                <w:sz w:val="20"/>
                <w:szCs w:val="20"/>
                <w:color w:val="auto"/>
              </w:rPr>
            </w:pPr>
            <w:r>
              <w:rPr>
                <w:rFonts w:ascii="Arial" w:cs="Arial" w:eastAsia="Arial" w:hAnsi="Arial"/>
                <w:sz w:val="22"/>
                <w:szCs w:val="22"/>
                <w:color w:val="auto"/>
              </w:rPr>
              <w:t>Name and Address of Purchaser</w:t>
            </w:r>
          </w:p>
        </w:tc>
        <w:tc>
          <w:tcPr>
            <w:tcW w:w="4740" w:type="dxa"/>
            <w:vAlign w:val="bottom"/>
            <w:gridSpan w:val="2"/>
          </w:tcPr>
          <w:p>
            <w:pPr>
              <w:jc w:val="center"/>
              <w:ind w:left="1032"/>
              <w:spacing w:after="0"/>
              <w:rPr>
                <w:sz w:val="20"/>
                <w:szCs w:val="20"/>
                <w:color w:val="auto"/>
              </w:rPr>
            </w:pPr>
            <w:r>
              <w:rPr>
                <w:rFonts w:ascii="Arial" w:cs="Arial" w:eastAsia="Arial" w:hAnsi="Arial"/>
                <w:sz w:val="22"/>
                <w:szCs w:val="22"/>
                <w:color w:val="auto"/>
                <w:w w:val="87"/>
              </w:rPr>
              <w:t>of Notes to Be Purchased</w:t>
            </w:r>
          </w:p>
        </w:tc>
      </w:tr>
      <w:tr>
        <w:trPr>
          <w:trHeight w:val="482"/>
        </w:trPr>
        <w:tc>
          <w:tcPr>
            <w:tcW w:w="6160" w:type="dxa"/>
            <w:vAlign w:val="bottom"/>
          </w:tcPr>
          <w:p>
            <w:pPr>
              <w:spacing w:after="0"/>
              <w:rPr>
                <w:sz w:val="20"/>
                <w:szCs w:val="20"/>
                <w:color w:val="auto"/>
              </w:rPr>
            </w:pPr>
            <w:r>
              <w:rPr>
                <w:rFonts w:ascii="Arial" w:cs="Arial" w:eastAsia="Arial" w:hAnsi="Arial"/>
                <w:sz w:val="22"/>
                <w:szCs w:val="22"/>
                <w:b w:val="1"/>
                <w:bCs w:val="1"/>
                <w:color w:val="auto"/>
              </w:rPr>
              <w:t>METROPOLITAN LIFE INSURANCE COMPANY</w:t>
            </w:r>
          </w:p>
        </w:tc>
        <w:tc>
          <w:tcPr>
            <w:tcW w:w="2620" w:type="dxa"/>
            <w:vAlign w:val="bottom"/>
          </w:tcPr>
          <w:p>
            <w:pPr>
              <w:ind w:left="1300"/>
              <w:spacing w:after="0"/>
              <w:rPr>
                <w:sz w:val="20"/>
                <w:szCs w:val="20"/>
                <w:color w:val="auto"/>
              </w:rPr>
            </w:pPr>
            <w:r>
              <w:rPr>
                <w:rFonts w:ascii="Arial" w:cs="Arial" w:eastAsia="Arial" w:hAnsi="Arial"/>
                <w:sz w:val="22"/>
                <w:szCs w:val="22"/>
                <w:color w:val="auto"/>
              </w:rPr>
              <w:t>Series B</w:t>
            </w:r>
          </w:p>
        </w:tc>
        <w:tc>
          <w:tcPr>
            <w:tcW w:w="2120" w:type="dxa"/>
            <w:vAlign w:val="bottom"/>
          </w:tcPr>
          <w:p>
            <w:pPr>
              <w:ind w:left="560"/>
              <w:spacing w:after="0"/>
              <w:rPr>
                <w:sz w:val="20"/>
                <w:szCs w:val="20"/>
                <w:color w:val="auto"/>
              </w:rPr>
            </w:pPr>
            <w:r>
              <w:rPr>
                <w:rFonts w:ascii="Arial" w:cs="Arial" w:eastAsia="Arial" w:hAnsi="Arial"/>
                <w:sz w:val="22"/>
                <w:szCs w:val="22"/>
                <w:color w:val="auto"/>
                <w:w w:val="89"/>
              </w:rPr>
              <w:t>U.S. $27,900,000</w:t>
            </w:r>
          </w:p>
        </w:tc>
      </w:tr>
      <w:tr>
        <w:trPr>
          <w:trHeight w:val="288"/>
        </w:trPr>
        <w:tc>
          <w:tcPr>
            <w:tcW w:w="6160" w:type="dxa"/>
            <w:vAlign w:val="bottom"/>
          </w:tcPr>
          <w:p>
            <w:pPr>
              <w:spacing w:after="0"/>
              <w:rPr>
                <w:sz w:val="20"/>
                <w:szCs w:val="20"/>
                <w:color w:val="auto"/>
              </w:rPr>
            </w:pPr>
            <w:r>
              <w:rPr>
                <w:rFonts w:ascii="Arial" w:cs="Arial" w:eastAsia="Arial" w:hAnsi="Arial"/>
                <w:sz w:val="22"/>
                <w:szCs w:val="22"/>
                <w:color w:val="auto"/>
              </w:rPr>
              <w:t>1095 Avenue of the Americas</w:t>
            </w:r>
          </w:p>
        </w:tc>
        <w:tc>
          <w:tcPr>
            <w:tcW w:w="2620" w:type="dxa"/>
            <w:vAlign w:val="bottom"/>
          </w:tcPr>
          <w:p>
            <w:pPr>
              <w:ind w:left="1340"/>
              <w:spacing w:after="0"/>
              <w:rPr>
                <w:sz w:val="20"/>
                <w:szCs w:val="20"/>
                <w:color w:val="auto"/>
              </w:rPr>
            </w:pPr>
            <w:r>
              <w:rPr>
                <w:rFonts w:ascii="Arial" w:cs="Arial" w:eastAsia="Arial" w:hAnsi="Arial"/>
                <w:sz w:val="22"/>
                <w:szCs w:val="22"/>
                <w:color w:val="auto"/>
              </w:rPr>
              <w:t>Series C</w:t>
            </w:r>
          </w:p>
        </w:tc>
        <w:tc>
          <w:tcPr>
            <w:tcW w:w="2120" w:type="dxa"/>
            <w:vAlign w:val="bottom"/>
          </w:tcPr>
          <w:p>
            <w:pPr>
              <w:ind w:left="600"/>
              <w:spacing w:after="0"/>
              <w:rPr>
                <w:sz w:val="20"/>
                <w:szCs w:val="20"/>
                <w:color w:val="auto"/>
              </w:rPr>
            </w:pPr>
            <w:r>
              <w:rPr>
                <w:rFonts w:ascii="Arial" w:cs="Arial" w:eastAsia="Arial" w:hAnsi="Arial"/>
                <w:sz w:val="22"/>
                <w:szCs w:val="22"/>
                <w:color w:val="auto"/>
                <w:w w:val="87"/>
              </w:rPr>
              <w:t>U.S. $34,100,000</w:t>
            </w:r>
          </w:p>
        </w:tc>
      </w:tr>
    </w:tbl>
    <w:p>
      <w:pPr>
        <w:ind w:left="40"/>
        <w:spacing w:after="0"/>
        <w:rPr>
          <w:sz w:val="20"/>
          <w:szCs w:val="20"/>
          <w:color w:val="auto"/>
        </w:rPr>
      </w:pPr>
      <w:r>
        <w:rPr>
          <w:rFonts w:ascii="Arial" w:cs="Arial" w:eastAsia="Arial" w:hAnsi="Arial"/>
          <w:sz w:val="22"/>
          <w:szCs w:val="22"/>
          <w:color w:val="auto"/>
        </w:rPr>
        <w:t>New York, New York 10036</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8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All scheduled payments of principal and interest by wire transfer of immediately available funds to:</w:t>
      </w:r>
    </w:p>
    <w:p>
      <w:pPr>
        <w:spacing w:after="0" w:line="2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Bank Name:</w:t>
      </w:r>
      <w:r>
        <w:rPr>
          <w:sz w:val="20"/>
          <w:szCs w:val="20"/>
          <w:color w:val="auto"/>
        </w:rPr>
        <w:tab/>
      </w:r>
      <w:r>
        <w:rPr>
          <w:rFonts w:ascii="Arial" w:cs="Arial" w:eastAsia="Arial" w:hAnsi="Arial"/>
          <w:sz w:val="19"/>
          <w:szCs w:val="19"/>
          <w:color w:val="auto"/>
        </w:rPr>
        <w:t>JPMorgan Chase Bank</w:t>
      </w:r>
    </w:p>
    <w:p>
      <w:pPr>
        <w:spacing w:after="0" w:line="44"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22"/>
          <w:szCs w:val="22"/>
          <w:color w:val="auto"/>
        </w:rPr>
        <w:t>ABA Routing #:</w:t>
      </w:r>
      <w:r>
        <w:rPr>
          <w:sz w:val="20"/>
          <w:szCs w:val="20"/>
          <w:color w:val="auto"/>
        </w:rPr>
        <w:tab/>
      </w:r>
      <w:r>
        <w:rPr>
          <w:rFonts w:ascii="Arial" w:cs="Arial" w:eastAsia="Arial" w:hAnsi="Arial"/>
          <w:sz w:val="19"/>
          <w:szCs w:val="19"/>
          <w:color w:val="auto"/>
        </w:rPr>
        <w:t>021-000-021</w:t>
      </w:r>
    </w:p>
    <w:p>
      <w:pPr>
        <w:spacing w:after="0" w:line="4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color w:val="auto"/>
        </w:rPr>
        <w:t>Account No.:</w:t>
      </w:r>
      <w:r>
        <w:rPr>
          <w:sz w:val="20"/>
          <w:szCs w:val="20"/>
          <w:color w:val="auto"/>
        </w:rPr>
        <w:tab/>
      </w:r>
      <w:r>
        <w:rPr>
          <w:rFonts w:ascii="Arial" w:cs="Arial" w:eastAsia="Arial" w:hAnsi="Arial"/>
          <w:sz w:val="19"/>
          <w:szCs w:val="19"/>
          <w:color w:val="auto"/>
        </w:rPr>
        <w:t>002-2-410591</w:t>
      </w:r>
    </w:p>
    <w:p>
      <w:pPr>
        <w:spacing w:after="0" w:line="44"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2"/>
          <w:szCs w:val="22"/>
          <w:color w:val="auto"/>
        </w:rPr>
        <w:t>Account Name:</w:t>
      </w:r>
      <w:r>
        <w:rPr>
          <w:sz w:val="20"/>
          <w:szCs w:val="20"/>
          <w:color w:val="auto"/>
        </w:rPr>
        <w:tab/>
      </w:r>
      <w:r>
        <w:rPr>
          <w:rFonts w:ascii="Arial" w:cs="Arial" w:eastAsia="Arial" w:hAnsi="Arial"/>
          <w:sz w:val="19"/>
          <w:szCs w:val="19"/>
          <w:color w:val="auto"/>
        </w:rPr>
        <w:t>Metropolitan Life Insurance Company</w:t>
      </w:r>
    </w:p>
    <w:p>
      <w:pPr>
        <w:spacing w:after="0" w:line="4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Ref:</w:t>
      </w:r>
      <w:r>
        <w:rPr>
          <w:sz w:val="20"/>
          <w:szCs w:val="20"/>
          <w:color w:val="auto"/>
        </w:rPr>
        <w:tab/>
      </w:r>
      <w:r>
        <w:rPr>
          <w:rFonts w:ascii="Arial" w:cs="Arial" w:eastAsia="Arial" w:hAnsi="Arial"/>
          <w:sz w:val="19"/>
          <w:szCs w:val="19"/>
          <w:color w:val="auto"/>
        </w:rPr>
        <w:t>American Assets Trust LP 4.45% DUE 02/02/2025 &amp; 4.50%</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DUE 04/01/2025</w:t>
      </w:r>
    </w:p>
    <w:p>
      <w:pPr>
        <w:spacing w:after="0" w:line="274" w:lineRule="exact"/>
        <w:rPr>
          <w:sz w:val="20"/>
          <w:szCs w:val="20"/>
          <w:color w:val="auto"/>
        </w:rPr>
      </w:pPr>
    </w:p>
    <w:p>
      <w:pPr>
        <w:ind w:left="340" w:right="120"/>
        <w:spacing w:after="0" w:line="263" w:lineRule="auto"/>
        <w:rPr>
          <w:sz w:val="20"/>
          <w:szCs w:val="20"/>
          <w:color w:val="auto"/>
        </w:rPr>
      </w:pPr>
      <w:r>
        <w:rPr>
          <w:rFonts w:ascii="Arial" w:cs="Arial" w:eastAsia="Arial" w:hAnsi="Arial"/>
          <w:sz w:val="22"/>
          <w:szCs w:val="22"/>
          <w:color w:val="auto"/>
        </w:rPr>
        <w:t>with sufficient information to identify the source and application of such funds, including issuer, PPN#, interest rate, maturity and whether payment is of principal, interest, make whole amount or otherwise.</w:t>
      </w:r>
    </w:p>
    <w:p>
      <w:pPr>
        <w:spacing w:after="0" w:line="202" w:lineRule="exact"/>
        <w:rPr>
          <w:sz w:val="20"/>
          <w:szCs w:val="20"/>
          <w:color w:val="auto"/>
        </w:rPr>
      </w:pPr>
    </w:p>
    <w:p>
      <w:pPr>
        <w:ind w:left="340"/>
        <w:spacing w:after="0" w:line="343" w:lineRule="auto"/>
        <w:rPr>
          <w:sz w:val="20"/>
          <w:szCs w:val="20"/>
          <w:color w:val="auto"/>
        </w:rPr>
      </w:pPr>
      <w:r>
        <w:rPr>
          <w:rFonts w:ascii="Arial" w:cs="Arial" w:eastAsia="Arial" w:hAnsi="Arial"/>
          <w:sz w:val="19"/>
          <w:szCs w:val="19"/>
          <w:color w:val="auto"/>
        </w:rPr>
        <w:t>For all payments other than scheduled payments of principal and interest, the Company shall seek instructions from the holder, and in the absence of instructions to the contrary, will make such payments to the account and in the manner set forth above.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Notices</w:t>
      </w:r>
    </w:p>
    <w:p>
      <w:pPr>
        <w:spacing w:after="0" w:line="287"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All notices and communications:</w:t>
      </w:r>
    </w:p>
    <w:p>
      <w:pPr>
        <w:spacing w:after="0" w:line="267" w:lineRule="exact"/>
        <w:rPr>
          <w:rFonts w:ascii="Arial" w:cs="Arial" w:eastAsia="Arial" w:hAnsi="Arial"/>
          <w:sz w:val="22"/>
          <w:szCs w:val="22"/>
          <w:color w:val="auto"/>
        </w:rPr>
      </w:pPr>
    </w:p>
    <w:p>
      <w:pPr>
        <w:ind w:left="660" w:right="7060"/>
        <w:spacing w:after="0" w:line="295" w:lineRule="auto"/>
        <w:rPr>
          <w:rFonts w:ascii="Arial" w:cs="Arial" w:eastAsia="Arial" w:hAnsi="Arial"/>
          <w:sz w:val="22"/>
          <w:szCs w:val="22"/>
          <w:color w:val="auto"/>
        </w:rPr>
      </w:pPr>
      <w:r>
        <w:rPr>
          <w:rFonts w:ascii="Arial" w:cs="Arial" w:eastAsia="Arial" w:hAnsi="Arial"/>
          <w:sz w:val="19"/>
          <w:szCs w:val="19"/>
          <w:b w:val="1"/>
          <w:bCs w:val="1"/>
          <w:color w:val="auto"/>
        </w:rPr>
        <w:t xml:space="preserve">Metropolitan Life Insurance Company </w:t>
      </w:r>
      <w:r>
        <w:rPr>
          <w:rFonts w:ascii="Arial" w:cs="Arial" w:eastAsia="Arial" w:hAnsi="Arial"/>
          <w:sz w:val="19"/>
          <w:szCs w:val="19"/>
          <w:color w:val="auto"/>
        </w:rPr>
        <w:t>Investments, Private Placements</w:t>
      </w:r>
    </w:p>
    <w:p>
      <w:pPr>
        <w:ind w:left="660"/>
        <w:spacing w:after="0"/>
        <w:rPr>
          <w:rFonts w:ascii="Arial" w:cs="Arial" w:eastAsia="Arial" w:hAnsi="Arial"/>
          <w:sz w:val="22"/>
          <w:szCs w:val="22"/>
          <w:color w:val="auto"/>
        </w:rPr>
      </w:pPr>
      <w:r>
        <w:rPr>
          <w:rFonts w:ascii="Arial" w:cs="Arial" w:eastAsia="Arial" w:hAnsi="Arial"/>
          <w:sz w:val="22"/>
          <w:szCs w:val="22"/>
          <w:color w:val="auto"/>
        </w:rPr>
        <w:t>P.O. Box 1902</w:t>
      </w:r>
    </w:p>
    <w:p>
      <w:pPr>
        <w:spacing w:after="0" w:line="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10 Park Avenue</w:t>
      </w:r>
    </w:p>
    <w:p>
      <w:pPr>
        <w:spacing w:after="0" w:line="3" w:lineRule="exact"/>
        <w:rPr>
          <w:rFonts w:ascii="Arial" w:cs="Arial" w:eastAsia="Arial" w:hAnsi="Arial"/>
          <w:sz w:val="22"/>
          <w:szCs w:val="22"/>
          <w:color w:val="auto"/>
        </w:rPr>
      </w:pPr>
    </w:p>
    <w:p>
      <w:pPr>
        <w:ind w:left="660" w:right="7420"/>
        <w:spacing w:after="0" w:line="243" w:lineRule="auto"/>
        <w:rPr>
          <w:rFonts w:ascii="Arial" w:cs="Arial" w:eastAsia="Arial" w:hAnsi="Arial"/>
          <w:sz w:val="22"/>
          <w:szCs w:val="22"/>
          <w:color w:val="auto"/>
        </w:rPr>
      </w:pPr>
      <w:r>
        <w:rPr>
          <w:rFonts w:ascii="Arial" w:cs="Arial" w:eastAsia="Arial" w:hAnsi="Arial"/>
          <w:sz w:val="22"/>
          <w:szCs w:val="22"/>
          <w:color w:val="auto"/>
        </w:rPr>
        <w:t>Morristown, New Jersey 07962-1902 Attention: Director</w:t>
      </w:r>
    </w:p>
    <w:p>
      <w:pPr>
        <w:ind w:left="660"/>
        <w:spacing w:after="0"/>
        <w:rPr>
          <w:rFonts w:ascii="Arial" w:cs="Arial" w:eastAsia="Arial" w:hAnsi="Arial"/>
          <w:sz w:val="22"/>
          <w:szCs w:val="22"/>
          <w:color w:val="auto"/>
        </w:rPr>
      </w:pPr>
      <w:r>
        <w:rPr>
          <w:rFonts w:ascii="Arial" w:cs="Arial" w:eastAsia="Arial" w:hAnsi="Arial"/>
          <w:sz w:val="22"/>
          <w:szCs w:val="22"/>
          <w:color w:val="auto"/>
        </w:rPr>
        <w:t>Facsimile (973) 355-4250</w:t>
      </w:r>
    </w:p>
    <w:p>
      <w:pPr>
        <w:sectPr>
          <w:pgSz w:w="11900" w:h="16838" w:orient="portrait"/>
          <w:cols w:equalWidth="0" w:num="1">
            <w:col w:w="11300"/>
          </w:cols>
          <w:pgMar w:left="240" w:top="1283" w:right="359" w:bottom="1440" w:gutter="0" w:footer="0" w:header="0"/>
        </w:sectPr>
      </w:pPr>
    </w:p>
    <w:bookmarkStart w:id="190" w:name="page191"/>
    <w:bookmarkEnd w:id="190"/>
    <w:p>
      <w:pPr>
        <w:ind w:left="652"/>
        <w:spacing w:after="0"/>
        <w:rPr>
          <w:sz w:val="20"/>
          <w:szCs w:val="20"/>
          <w:color w:val="auto"/>
        </w:rPr>
      </w:pPr>
      <w:r>
        <w:rPr>
          <w:rFonts w:ascii="Arial" w:cs="Arial" w:eastAsia="Arial" w:hAnsi="Arial"/>
          <w:sz w:val="19"/>
          <w:szCs w:val="19"/>
          <w:color w:val="auto"/>
        </w:rPr>
        <w:t xml:space="preserve">With a copy </w:t>
      </w:r>
      <w:r>
        <w:rPr>
          <w:rFonts w:ascii="Arial" w:cs="Arial" w:eastAsia="Arial" w:hAnsi="Arial"/>
          <w:sz w:val="19"/>
          <w:szCs w:val="19"/>
          <w:b w:val="1"/>
          <w:bCs w:val="1"/>
          <w:color w:val="auto"/>
        </w:rPr>
        <w:t>OTHER than with respect to deliveries of financial statements</w:t>
      </w:r>
      <w:r>
        <w:rPr>
          <w:rFonts w:ascii="Arial" w:cs="Arial" w:eastAsia="Arial" w:hAnsi="Arial"/>
          <w:sz w:val="19"/>
          <w:szCs w:val="19"/>
          <w:color w:val="auto"/>
        </w:rPr>
        <w:t xml:space="preserve"> to:</w:t>
      </w:r>
    </w:p>
    <w:p>
      <w:pPr>
        <w:spacing w:after="0" w:line="200" w:lineRule="exact"/>
        <w:rPr>
          <w:sz w:val="20"/>
          <w:szCs w:val="20"/>
          <w:color w:val="auto"/>
        </w:rPr>
      </w:pPr>
    </w:p>
    <w:p>
      <w:pPr>
        <w:spacing w:after="0" w:line="324" w:lineRule="exact"/>
        <w:rPr>
          <w:sz w:val="20"/>
          <w:szCs w:val="20"/>
          <w:color w:val="auto"/>
        </w:rPr>
      </w:pPr>
    </w:p>
    <w:p>
      <w:pPr>
        <w:ind w:left="652"/>
        <w:spacing w:after="0"/>
        <w:rPr>
          <w:sz w:val="20"/>
          <w:szCs w:val="20"/>
          <w:color w:val="auto"/>
        </w:rPr>
      </w:pPr>
      <w:r>
        <w:rPr>
          <w:rFonts w:ascii="Arial" w:cs="Arial" w:eastAsia="Arial" w:hAnsi="Arial"/>
          <w:sz w:val="22"/>
          <w:szCs w:val="22"/>
          <w:b w:val="1"/>
          <w:bCs w:val="1"/>
          <w:color w:val="auto"/>
        </w:rPr>
        <w:t>Metropolitan Life Insurance Company</w:t>
      </w:r>
    </w:p>
    <w:p>
      <w:pPr>
        <w:spacing w:after="0" w:line="28" w:lineRule="exact"/>
        <w:rPr>
          <w:sz w:val="20"/>
          <w:szCs w:val="20"/>
          <w:color w:val="auto"/>
        </w:rPr>
      </w:pPr>
    </w:p>
    <w:p>
      <w:pPr>
        <w:ind w:left="652"/>
        <w:spacing w:after="0"/>
        <w:rPr>
          <w:sz w:val="20"/>
          <w:szCs w:val="20"/>
          <w:color w:val="auto"/>
        </w:rPr>
      </w:pPr>
      <w:r>
        <w:rPr>
          <w:rFonts w:ascii="Arial" w:cs="Arial" w:eastAsia="Arial" w:hAnsi="Arial"/>
          <w:sz w:val="22"/>
          <w:szCs w:val="22"/>
          <w:color w:val="auto"/>
        </w:rPr>
        <w:t>P.O. Box 1902</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10 Park Avenue</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Morristown, New Jersey 07962-1902</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Attention: Chief Counsel-Securities Investments (PRIV)</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Email: sec_invest_law@metlife.com</w:t>
      </w:r>
    </w:p>
    <w:p>
      <w:pPr>
        <w:spacing w:after="0" w:line="236" w:lineRule="exact"/>
        <w:rPr>
          <w:sz w:val="20"/>
          <w:szCs w:val="20"/>
          <w:color w:val="auto"/>
        </w:rPr>
      </w:pPr>
    </w:p>
    <w:p>
      <w:pPr>
        <w:ind w:left="652" w:hanging="652"/>
        <w:spacing w:after="0"/>
        <w:tabs>
          <w:tab w:leader="none" w:pos="65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(Securities to be registered in the name of </w:t>
      </w:r>
      <w:r>
        <w:rPr>
          <w:rFonts w:ascii="Arial" w:cs="Arial" w:eastAsia="Arial" w:hAnsi="Arial"/>
          <w:sz w:val="19"/>
          <w:szCs w:val="19"/>
          <w:b w:val="1"/>
          <w:bCs w:val="1"/>
          <w:color w:val="auto"/>
        </w:rPr>
        <w:t>Metropolitan Life Insurance Company</w:t>
      </w:r>
      <w:r>
        <w:rPr>
          <w:rFonts w:ascii="Arial" w:cs="Arial" w:eastAsia="Arial" w:hAnsi="Arial"/>
          <w:sz w:val="19"/>
          <w:szCs w:val="19"/>
          <w:color w:val="auto"/>
        </w:rPr>
        <w:t>)</w:t>
      </w:r>
    </w:p>
    <w:p>
      <w:pPr>
        <w:spacing w:after="0" w:line="327" w:lineRule="exact"/>
        <w:rPr>
          <w:rFonts w:ascii="Arial" w:cs="Arial" w:eastAsia="Arial" w:hAnsi="Arial"/>
          <w:sz w:val="19"/>
          <w:szCs w:val="19"/>
          <w:color w:val="auto"/>
        </w:rPr>
      </w:pPr>
    </w:p>
    <w:p>
      <w:pPr>
        <w:ind w:left="652" w:hanging="652"/>
        <w:spacing w:after="0"/>
        <w:tabs>
          <w:tab w:leader="none" w:pos="65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Taxpayer I.D. Number: 13-5581829</w:t>
      </w:r>
    </w:p>
    <w:p>
      <w:pPr>
        <w:spacing w:after="0" w:line="287" w:lineRule="exact"/>
        <w:rPr>
          <w:rFonts w:ascii="Arial" w:cs="Arial" w:eastAsia="Arial" w:hAnsi="Arial"/>
          <w:sz w:val="22"/>
          <w:szCs w:val="22"/>
          <w:color w:val="auto"/>
        </w:rPr>
      </w:pPr>
    </w:p>
    <w:p>
      <w:pPr>
        <w:ind w:left="652" w:hanging="652"/>
        <w:spacing w:after="0"/>
        <w:tabs>
          <w:tab w:leader="none" w:pos="65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UK Passport Treaty Number (if applicable): 13/M/61303/DTTP</w:t>
      </w:r>
    </w:p>
    <w:p>
      <w:pPr>
        <w:spacing w:after="0" w:line="287" w:lineRule="exact"/>
        <w:rPr>
          <w:rFonts w:ascii="Arial" w:cs="Arial" w:eastAsia="Arial" w:hAnsi="Arial"/>
          <w:sz w:val="22"/>
          <w:szCs w:val="22"/>
          <w:color w:val="auto"/>
        </w:rPr>
      </w:pPr>
    </w:p>
    <w:p>
      <w:pPr>
        <w:ind w:left="652" w:hanging="652"/>
        <w:spacing w:after="0"/>
        <w:tabs>
          <w:tab w:leader="none" w:pos="652" w:val="left"/>
        </w:tabs>
        <w:numPr>
          <w:ilvl w:val="0"/>
          <w:numId w:val="135"/>
        </w:numPr>
        <w:rPr>
          <w:rFonts w:ascii="Arial" w:cs="Arial" w:eastAsia="Arial" w:hAnsi="Arial"/>
          <w:sz w:val="22"/>
          <w:szCs w:val="22"/>
          <w:color w:val="auto"/>
        </w:rPr>
      </w:pPr>
      <w:r>
        <w:rPr>
          <w:rFonts w:ascii="Arial" w:cs="Arial" w:eastAsia="Arial" w:hAnsi="Arial"/>
          <w:sz w:val="22"/>
          <w:szCs w:val="22"/>
          <w:i w:val="1"/>
          <w:iCs w:val="1"/>
          <w:color w:val="auto"/>
        </w:rPr>
        <w:t>Original notes delivered to:</w:t>
      </w:r>
    </w:p>
    <w:p>
      <w:pPr>
        <w:spacing w:after="0" w:line="273" w:lineRule="exact"/>
        <w:rPr>
          <w:rFonts w:ascii="Arial" w:cs="Arial" w:eastAsia="Arial" w:hAnsi="Arial"/>
          <w:sz w:val="22"/>
          <w:szCs w:val="22"/>
          <w:color w:val="auto"/>
        </w:rPr>
      </w:pPr>
    </w:p>
    <w:p>
      <w:pPr>
        <w:jc w:val="both"/>
        <w:ind w:left="652" w:right="6079"/>
        <w:spacing w:after="0" w:line="249" w:lineRule="auto"/>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Metropolitan Life Insurance Company </w:t>
      </w:r>
      <w:r>
        <w:rPr>
          <w:rFonts w:ascii="Arial" w:cs="Arial" w:eastAsia="Arial" w:hAnsi="Arial"/>
          <w:sz w:val="22"/>
          <w:szCs w:val="22"/>
          <w:i w:val="1"/>
          <w:iCs w:val="1"/>
          <w:color w:val="auto"/>
        </w:rPr>
        <w:t>Securities Investments, Law Department P.O. Box 1902</w:t>
      </w: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10 Park Avenue</w:t>
      </w:r>
    </w:p>
    <w:p>
      <w:pPr>
        <w:spacing w:after="0" w:line="3" w:lineRule="exact"/>
        <w:rPr>
          <w:rFonts w:ascii="Arial" w:cs="Arial" w:eastAsia="Arial" w:hAnsi="Arial"/>
          <w:sz w:val="22"/>
          <w:szCs w:val="22"/>
          <w:color w:val="auto"/>
        </w:rPr>
      </w:pPr>
    </w:p>
    <w:p>
      <w:pPr>
        <w:ind w:left="652" w:right="6339"/>
        <w:spacing w:after="0" w:line="323" w:lineRule="auto"/>
        <w:rPr>
          <w:rFonts w:ascii="Arial" w:cs="Arial" w:eastAsia="Arial" w:hAnsi="Arial"/>
          <w:sz w:val="22"/>
          <w:szCs w:val="22"/>
          <w:color w:val="auto"/>
        </w:rPr>
      </w:pPr>
      <w:r>
        <w:rPr>
          <w:rFonts w:ascii="Arial" w:cs="Arial" w:eastAsia="Arial" w:hAnsi="Arial"/>
          <w:sz w:val="19"/>
          <w:szCs w:val="19"/>
          <w:i w:val="1"/>
          <w:iCs w:val="1"/>
          <w:color w:val="auto"/>
        </w:rPr>
        <w:t>Morristown, New Jersey 07962-1902 Attention: Daniel Scudder, Esq.</w:t>
      </w:r>
    </w:p>
    <w:p>
      <w:pPr>
        <w:sectPr>
          <w:pgSz w:w="11900" w:h="16838" w:orient="portrait"/>
          <w:cols w:equalWidth="0" w:num="1">
            <w:col w:w="10211"/>
          </w:cols>
          <w:pgMar w:left="248" w:top="909" w:right="1440"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75"/>
        </w:trPr>
        <w:tc>
          <w:tcPr>
            <w:tcW w:w="6640" w:type="dxa"/>
            <w:vAlign w:val="bottom"/>
          </w:tcPr>
          <w:p>
            <w:pPr>
              <w:spacing w:after="0"/>
              <w:rPr>
                <w:sz w:val="20"/>
                <w:szCs w:val="20"/>
                <w:color w:val="auto"/>
              </w:rPr>
            </w:pPr>
            <w:r>
              <w:rPr>
                <w:rFonts w:ascii="Arial" w:cs="Arial" w:eastAsia="Arial" w:hAnsi="Arial"/>
                <w:sz w:val="22"/>
                <w:szCs w:val="22"/>
                <w:color w:val="auto"/>
              </w:rPr>
              <w:t>444</w:t>
            </w:r>
          </w:p>
        </w:tc>
        <w:tc>
          <w:tcPr>
            <w:tcW w:w="22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846"/>
        </w:trPr>
        <w:tc>
          <w:tcPr>
            <w:tcW w:w="6640" w:type="dxa"/>
            <w:vAlign w:val="bottom"/>
          </w:tcPr>
          <w:p>
            <w:pPr>
              <w:spacing w:after="0"/>
              <w:rPr>
                <w:sz w:val="24"/>
                <w:szCs w:val="24"/>
                <w:color w:val="auto"/>
              </w:rPr>
            </w:pPr>
          </w:p>
        </w:tc>
        <w:tc>
          <w:tcPr>
            <w:tcW w:w="4240" w:type="dxa"/>
            <w:vAlign w:val="bottom"/>
            <w:gridSpan w:val="2"/>
          </w:tcPr>
          <w:p>
            <w:pPr>
              <w:jc w:val="center"/>
              <w:ind w:left="612"/>
              <w:spacing w:after="0"/>
              <w:rPr>
                <w:sz w:val="20"/>
                <w:szCs w:val="20"/>
                <w:color w:val="auto"/>
              </w:rPr>
            </w:pPr>
            <w:r>
              <w:rPr>
                <w:rFonts w:ascii="Arial" w:cs="Arial" w:eastAsia="Arial" w:hAnsi="Arial"/>
                <w:sz w:val="22"/>
                <w:szCs w:val="22"/>
                <w:color w:val="auto"/>
                <w:w w:val="89"/>
              </w:rPr>
              <w:t>Principal Amount and Series</w:t>
            </w:r>
          </w:p>
        </w:tc>
      </w:tr>
      <w:tr>
        <w:trPr>
          <w:trHeight w:val="275"/>
        </w:trPr>
        <w:tc>
          <w:tcPr>
            <w:tcW w:w="6640" w:type="dxa"/>
            <w:vAlign w:val="bottom"/>
          </w:tcPr>
          <w:p>
            <w:pPr>
              <w:ind w:left="2040"/>
              <w:spacing w:after="0"/>
              <w:rPr>
                <w:sz w:val="20"/>
                <w:szCs w:val="20"/>
                <w:color w:val="auto"/>
              </w:rPr>
            </w:pPr>
            <w:r>
              <w:rPr>
                <w:rFonts w:ascii="Arial" w:cs="Arial" w:eastAsia="Arial" w:hAnsi="Arial"/>
                <w:sz w:val="22"/>
                <w:szCs w:val="22"/>
                <w:color w:val="auto"/>
              </w:rPr>
              <w:t>Name and Address of Purchaser</w:t>
            </w:r>
          </w:p>
        </w:tc>
        <w:tc>
          <w:tcPr>
            <w:tcW w:w="4240" w:type="dxa"/>
            <w:vAlign w:val="bottom"/>
            <w:gridSpan w:val="2"/>
          </w:tcPr>
          <w:p>
            <w:pPr>
              <w:jc w:val="center"/>
              <w:ind w:left="652"/>
              <w:spacing w:after="0"/>
              <w:rPr>
                <w:sz w:val="20"/>
                <w:szCs w:val="20"/>
                <w:color w:val="auto"/>
              </w:rPr>
            </w:pPr>
            <w:r>
              <w:rPr>
                <w:rFonts w:ascii="Arial" w:cs="Arial" w:eastAsia="Arial" w:hAnsi="Arial"/>
                <w:sz w:val="22"/>
                <w:szCs w:val="22"/>
                <w:color w:val="auto"/>
                <w:w w:val="87"/>
              </w:rPr>
              <w:t>of Notes to Be Purchased</w:t>
            </w:r>
          </w:p>
        </w:tc>
      </w:tr>
      <w:tr>
        <w:trPr>
          <w:trHeight w:val="482"/>
        </w:trPr>
        <w:tc>
          <w:tcPr>
            <w:tcW w:w="6640" w:type="dxa"/>
            <w:vAlign w:val="bottom"/>
          </w:tcPr>
          <w:p>
            <w:pPr>
              <w:ind w:left="40"/>
              <w:spacing w:after="0"/>
              <w:rPr>
                <w:sz w:val="20"/>
                <w:szCs w:val="20"/>
                <w:color w:val="auto"/>
              </w:rPr>
            </w:pPr>
            <w:r>
              <w:rPr>
                <w:rFonts w:ascii="Arial" w:cs="Arial" w:eastAsia="Arial" w:hAnsi="Arial"/>
                <w:sz w:val="22"/>
                <w:szCs w:val="22"/>
                <w:b w:val="1"/>
                <w:bCs w:val="1"/>
                <w:color w:val="auto"/>
              </w:rPr>
              <w:t>METROPOLITAN TOWER LIFE INSURANCE COMPANY</w:t>
            </w:r>
          </w:p>
        </w:tc>
        <w:tc>
          <w:tcPr>
            <w:tcW w:w="2200" w:type="dxa"/>
            <w:vAlign w:val="bottom"/>
          </w:tcPr>
          <w:p>
            <w:pPr>
              <w:ind w:left="860"/>
              <w:spacing w:after="0"/>
              <w:rPr>
                <w:sz w:val="20"/>
                <w:szCs w:val="20"/>
                <w:color w:val="auto"/>
              </w:rPr>
            </w:pPr>
            <w:r>
              <w:rPr>
                <w:rFonts w:ascii="Arial" w:cs="Arial" w:eastAsia="Arial" w:hAnsi="Arial"/>
                <w:sz w:val="22"/>
                <w:szCs w:val="22"/>
                <w:color w:val="auto"/>
              </w:rPr>
              <w:t>Series B</w:t>
            </w:r>
          </w:p>
        </w:tc>
        <w:tc>
          <w:tcPr>
            <w:tcW w:w="2040" w:type="dxa"/>
            <w:vAlign w:val="bottom"/>
          </w:tcPr>
          <w:p>
            <w:pPr>
              <w:ind w:left="600"/>
              <w:spacing w:after="0"/>
              <w:rPr>
                <w:sz w:val="20"/>
                <w:szCs w:val="20"/>
                <w:color w:val="auto"/>
              </w:rPr>
            </w:pPr>
            <w:r>
              <w:rPr>
                <w:rFonts w:ascii="Arial" w:cs="Arial" w:eastAsia="Arial" w:hAnsi="Arial"/>
                <w:sz w:val="22"/>
                <w:szCs w:val="22"/>
                <w:color w:val="auto"/>
                <w:w w:val="89"/>
              </w:rPr>
              <w:t>U.S. $8,100,000</w:t>
            </w:r>
          </w:p>
        </w:tc>
      </w:tr>
      <w:tr>
        <w:trPr>
          <w:trHeight w:val="288"/>
        </w:trPr>
        <w:tc>
          <w:tcPr>
            <w:tcW w:w="6640" w:type="dxa"/>
            <w:vAlign w:val="bottom"/>
          </w:tcPr>
          <w:p>
            <w:pPr>
              <w:ind w:left="40"/>
              <w:spacing w:after="0"/>
              <w:rPr>
                <w:sz w:val="20"/>
                <w:szCs w:val="20"/>
                <w:color w:val="auto"/>
              </w:rPr>
            </w:pPr>
            <w:r>
              <w:rPr>
                <w:rFonts w:ascii="Arial" w:cs="Arial" w:eastAsia="Arial" w:hAnsi="Arial"/>
                <w:sz w:val="22"/>
                <w:szCs w:val="22"/>
                <w:color w:val="auto"/>
              </w:rPr>
              <w:t>c/o Metropolitan Life Insurance Company</w:t>
            </w:r>
          </w:p>
        </w:tc>
        <w:tc>
          <w:tcPr>
            <w:tcW w:w="2200" w:type="dxa"/>
            <w:vAlign w:val="bottom"/>
          </w:tcPr>
          <w:p>
            <w:pPr>
              <w:ind w:left="900"/>
              <w:spacing w:after="0"/>
              <w:rPr>
                <w:sz w:val="20"/>
                <w:szCs w:val="20"/>
                <w:color w:val="auto"/>
              </w:rPr>
            </w:pPr>
            <w:r>
              <w:rPr>
                <w:rFonts w:ascii="Arial" w:cs="Arial" w:eastAsia="Arial" w:hAnsi="Arial"/>
                <w:sz w:val="22"/>
                <w:szCs w:val="22"/>
                <w:color w:val="auto"/>
              </w:rPr>
              <w:t>Series C</w:t>
            </w:r>
          </w:p>
        </w:tc>
        <w:tc>
          <w:tcPr>
            <w:tcW w:w="2040" w:type="dxa"/>
            <w:vAlign w:val="bottom"/>
          </w:tcPr>
          <w:p>
            <w:pPr>
              <w:ind w:left="620"/>
              <w:spacing w:after="0"/>
              <w:rPr>
                <w:sz w:val="20"/>
                <w:szCs w:val="20"/>
                <w:color w:val="auto"/>
              </w:rPr>
            </w:pPr>
            <w:r>
              <w:rPr>
                <w:rFonts w:ascii="Arial" w:cs="Arial" w:eastAsia="Arial" w:hAnsi="Arial"/>
                <w:sz w:val="22"/>
                <w:szCs w:val="22"/>
                <w:color w:val="auto"/>
                <w:w w:val="88"/>
              </w:rPr>
              <w:t>U.S. $9,900,000</w:t>
            </w:r>
          </w:p>
        </w:tc>
      </w:tr>
    </w:tbl>
    <w:p>
      <w:pPr>
        <w:ind w:left="40"/>
        <w:spacing w:after="0" w:line="230" w:lineRule="auto"/>
        <w:rPr>
          <w:sz w:val="20"/>
          <w:szCs w:val="20"/>
          <w:color w:val="auto"/>
        </w:rPr>
      </w:pPr>
      <w:r>
        <w:rPr>
          <w:rFonts w:ascii="Arial" w:cs="Arial" w:eastAsia="Arial" w:hAnsi="Arial"/>
          <w:sz w:val="22"/>
          <w:szCs w:val="22"/>
          <w:color w:val="auto"/>
        </w:rPr>
        <w:t>1095 Avenue of the Americas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York, New York 10036</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87"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All scheduled payments of principal and interest by wire transfer of immediately available funds to:</w:t>
      </w:r>
    </w:p>
    <w:p>
      <w:pPr>
        <w:spacing w:after="0" w:line="2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Bank Name:</w:t>
      </w:r>
      <w:r>
        <w:rPr>
          <w:sz w:val="20"/>
          <w:szCs w:val="20"/>
          <w:color w:val="auto"/>
        </w:rPr>
        <w:tab/>
      </w:r>
      <w:r>
        <w:rPr>
          <w:rFonts w:ascii="Arial" w:cs="Arial" w:eastAsia="Arial" w:hAnsi="Arial"/>
          <w:sz w:val="19"/>
          <w:szCs w:val="19"/>
          <w:color w:val="auto"/>
        </w:rPr>
        <w:t>JPMorgan Chase Bank</w:t>
      </w:r>
    </w:p>
    <w:p>
      <w:pPr>
        <w:spacing w:after="0" w:line="22"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22"/>
          <w:szCs w:val="22"/>
          <w:color w:val="auto"/>
        </w:rPr>
        <w:t>ABA Routing #:</w:t>
      </w:r>
      <w:r>
        <w:rPr>
          <w:sz w:val="20"/>
          <w:szCs w:val="20"/>
          <w:color w:val="auto"/>
        </w:rPr>
        <w:tab/>
      </w:r>
      <w:r>
        <w:rPr>
          <w:rFonts w:ascii="Arial" w:cs="Arial" w:eastAsia="Arial" w:hAnsi="Arial"/>
          <w:sz w:val="19"/>
          <w:szCs w:val="19"/>
          <w:color w:val="auto"/>
        </w:rPr>
        <w:t>021-000-021</w:t>
      </w:r>
    </w:p>
    <w:p>
      <w:pPr>
        <w:spacing w:after="0" w:line="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color w:val="auto"/>
        </w:rPr>
        <w:t>Account No.:</w:t>
      </w:r>
      <w:r>
        <w:rPr>
          <w:sz w:val="20"/>
          <w:szCs w:val="20"/>
          <w:color w:val="auto"/>
        </w:rPr>
        <w:tab/>
      </w:r>
      <w:r>
        <w:rPr>
          <w:rFonts w:ascii="Arial" w:cs="Arial" w:eastAsia="Arial" w:hAnsi="Arial"/>
          <w:sz w:val="19"/>
          <w:szCs w:val="19"/>
          <w:color w:val="auto"/>
        </w:rPr>
        <w:t>002-2-403778</w:t>
      </w:r>
    </w:p>
    <w:p>
      <w:pPr>
        <w:spacing w:after="0" w:line="4"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2"/>
          <w:szCs w:val="22"/>
          <w:color w:val="auto"/>
        </w:rPr>
        <w:t>Account Name:</w:t>
      </w:r>
      <w:r>
        <w:rPr>
          <w:sz w:val="20"/>
          <w:szCs w:val="20"/>
          <w:color w:val="auto"/>
        </w:rPr>
        <w:tab/>
      </w:r>
      <w:r>
        <w:rPr>
          <w:rFonts w:ascii="Arial" w:cs="Arial" w:eastAsia="Arial" w:hAnsi="Arial"/>
          <w:sz w:val="19"/>
          <w:szCs w:val="19"/>
          <w:color w:val="auto"/>
        </w:rPr>
        <w:t>Metropolitan Tower Life Insurance Company</w:t>
      </w:r>
    </w:p>
    <w:p>
      <w:pPr>
        <w:spacing w:after="0" w:line="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Ref:</w:t>
      </w:r>
      <w:r>
        <w:rPr>
          <w:sz w:val="20"/>
          <w:szCs w:val="20"/>
          <w:color w:val="auto"/>
        </w:rPr>
        <w:tab/>
      </w:r>
      <w:r>
        <w:rPr>
          <w:rFonts w:ascii="Arial" w:cs="Arial" w:eastAsia="Arial" w:hAnsi="Arial"/>
          <w:sz w:val="19"/>
          <w:szCs w:val="19"/>
          <w:color w:val="auto"/>
        </w:rPr>
        <w:t>American Assets Trust LP 4.50% DUE 04/01/2025 &amp; 4.45%</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DUE 02/02/2015</w:t>
      </w:r>
    </w:p>
    <w:p>
      <w:pPr>
        <w:spacing w:after="0" w:line="242" w:lineRule="exact"/>
        <w:rPr>
          <w:sz w:val="20"/>
          <w:szCs w:val="20"/>
          <w:color w:val="auto"/>
        </w:rPr>
      </w:pPr>
    </w:p>
    <w:p>
      <w:pPr>
        <w:ind w:left="340" w:right="120"/>
        <w:spacing w:after="0" w:line="263" w:lineRule="auto"/>
        <w:rPr>
          <w:sz w:val="20"/>
          <w:szCs w:val="20"/>
          <w:color w:val="auto"/>
        </w:rPr>
      </w:pPr>
      <w:r>
        <w:rPr>
          <w:rFonts w:ascii="Arial" w:cs="Arial" w:eastAsia="Arial" w:hAnsi="Arial"/>
          <w:sz w:val="22"/>
          <w:szCs w:val="22"/>
          <w:color w:val="auto"/>
        </w:rPr>
        <w:t>with sufficient information to identify the source and application of such funds, including issuer, PPN#, interest rate, maturity and whether payment is of principal, interest, make whole amount or otherwise.</w:t>
      </w:r>
    </w:p>
    <w:p>
      <w:pPr>
        <w:spacing w:after="0" w:line="202" w:lineRule="exact"/>
        <w:rPr>
          <w:sz w:val="20"/>
          <w:szCs w:val="20"/>
          <w:color w:val="auto"/>
        </w:rPr>
      </w:pPr>
    </w:p>
    <w:p>
      <w:pPr>
        <w:ind w:left="340"/>
        <w:spacing w:after="0" w:line="343" w:lineRule="auto"/>
        <w:rPr>
          <w:sz w:val="20"/>
          <w:szCs w:val="20"/>
          <w:color w:val="auto"/>
        </w:rPr>
      </w:pPr>
      <w:r>
        <w:rPr>
          <w:rFonts w:ascii="Arial" w:cs="Arial" w:eastAsia="Arial" w:hAnsi="Arial"/>
          <w:sz w:val="19"/>
          <w:szCs w:val="19"/>
          <w:color w:val="auto"/>
        </w:rPr>
        <w:t>For all payments other than scheduled payments of principal and interest, the Company shall seek instructions from the holder, and in the absence of instructions to the contrary, will make such payments to the account and in the manner set forth above.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Notices</w:t>
      </w:r>
    </w:p>
    <w:p>
      <w:pPr>
        <w:spacing w:after="0" w:line="287"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All notices and communications:</w:t>
      </w:r>
    </w:p>
    <w:p>
      <w:pPr>
        <w:spacing w:after="0" w:line="267" w:lineRule="exact"/>
        <w:rPr>
          <w:rFonts w:ascii="Arial" w:cs="Arial" w:eastAsia="Arial" w:hAnsi="Arial"/>
          <w:sz w:val="22"/>
          <w:szCs w:val="22"/>
          <w:color w:val="auto"/>
        </w:rPr>
      </w:pPr>
    </w:p>
    <w:p>
      <w:pPr>
        <w:ind w:left="660" w:right="4920"/>
        <w:spacing w:after="0" w:line="254" w:lineRule="auto"/>
        <w:rPr>
          <w:rFonts w:ascii="Arial" w:cs="Arial" w:eastAsia="Arial" w:hAnsi="Arial"/>
          <w:sz w:val="22"/>
          <w:szCs w:val="22"/>
          <w:color w:val="auto"/>
        </w:rPr>
      </w:pPr>
      <w:r>
        <w:rPr>
          <w:rFonts w:ascii="Arial" w:cs="Arial" w:eastAsia="Arial" w:hAnsi="Arial"/>
          <w:sz w:val="22"/>
          <w:szCs w:val="22"/>
          <w:b w:val="1"/>
          <w:bCs w:val="1"/>
          <w:color w:val="auto"/>
        </w:rPr>
        <w:t xml:space="preserve">METROPOLITAN TOWER LIFE INSURANCE COMPANY </w:t>
      </w:r>
      <w:r>
        <w:rPr>
          <w:rFonts w:ascii="Arial" w:cs="Arial" w:eastAsia="Arial" w:hAnsi="Arial"/>
          <w:sz w:val="22"/>
          <w:szCs w:val="22"/>
          <w:color w:val="auto"/>
        </w:rPr>
        <w:t>c/o Metropolitan Life Insurance Company</w:t>
      </w:r>
    </w:p>
    <w:p>
      <w:pPr>
        <w:spacing w:after="0" w:line="1" w:lineRule="exact"/>
        <w:rPr>
          <w:rFonts w:ascii="Arial" w:cs="Arial" w:eastAsia="Arial" w:hAnsi="Arial"/>
          <w:sz w:val="22"/>
          <w:szCs w:val="22"/>
          <w:color w:val="auto"/>
        </w:rPr>
      </w:pPr>
    </w:p>
    <w:p>
      <w:pPr>
        <w:ind w:left="660" w:right="7840"/>
        <w:spacing w:after="0" w:line="243" w:lineRule="auto"/>
        <w:rPr>
          <w:rFonts w:ascii="Arial" w:cs="Arial" w:eastAsia="Arial" w:hAnsi="Arial"/>
          <w:sz w:val="22"/>
          <w:szCs w:val="22"/>
          <w:color w:val="auto"/>
        </w:rPr>
      </w:pPr>
      <w:r>
        <w:rPr>
          <w:rFonts w:ascii="Arial" w:cs="Arial" w:eastAsia="Arial" w:hAnsi="Arial"/>
          <w:sz w:val="22"/>
          <w:szCs w:val="22"/>
          <w:color w:val="auto"/>
        </w:rPr>
        <w:t>Investments, Private Placements 10 Park Avenue</w:t>
      </w:r>
    </w:p>
    <w:p>
      <w:pPr>
        <w:ind w:left="660" w:right="7420"/>
        <w:spacing w:after="0" w:line="243" w:lineRule="auto"/>
        <w:rPr>
          <w:rFonts w:ascii="Arial" w:cs="Arial" w:eastAsia="Arial" w:hAnsi="Arial"/>
          <w:sz w:val="22"/>
          <w:szCs w:val="22"/>
          <w:color w:val="auto"/>
        </w:rPr>
      </w:pPr>
      <w:r>
        <w:rPr>
          <w:rFonts w:ascii="Arial" w:cs="Arial" w:eastAsia="Arial" w:hAnsi="Arial"/>
          <w:sz w:val="22"/>
          <w:szCs w:val="22"/>
          <w:color w:val="auto"/>
        </w:rPr>
        <w:t>Morristown, New Jersey 07962-1902 Attention: Director</w:t>
      </w:r>
    </w:p>
    <w:p>
      <w:pPr>
        <w:ind w:left="660"/>
        <w:spacing w:after="0"/>
        <w:rPr>
          <w:rFonts w:ascii="Arial" w:cs="Arial" w:eastAsia="Arial" w:hAnsi="Arial"/>
          <w:sz w:val="22"/>
          <w:szCs w:val="22"/>
          <w:color w:val="auto"/>
        </w:rPr>
      </w:pPr>
      <w:r>
        <w:rPr>
          <w:rFonts w:ascii="Arial" w:cs="Arial" w:eastAsia="Arial" w:hAnsi="Arial"/>
          <w:sz w:val="22"/>
          <w:szCs w:val="22"/>
          <w:color w:val="auto"/>
        </w:rPr>
        <w:t>Facsimile (973) 355-4250</w:t>
      </w:r>
    </w:p>
    <w:p>
      <w:pPr>
        <w:sectPr>
          <w:pgSz w:w="11900" w:h="16838" w:orient="portrait"/>
          <w:cols w:equalWidth="0" w:num="1">
            <w:col w:w="11300"/>
          </w:cols>
          <w:pgMar w:left="240" w:top="672" w:right="359" w:bottom="1440" w:gutter="0" w:footer="0" w:header="0"/>
        </w:sectPr>
      </w:pPr>
    </w:p>
    <w:bookmarkStart w:id="192" w:name="page193"/>
    <w:bookmarkEnd w:id="192"/>
    <w:p>
      <w:pPr>
        <w:ind w:left="652"/>
        <w:spacing w:after="0"/>
        <w:rPr>
          <w:sz w:val="20"/>
          <w:szCs w:val="20"/>
          <w:color w:val="auto"/>
        </w:rPr>
      </w:pPr>
      <w:r>
        <w:rPr>
          <w:rFonts w:ascii="Arial" w:cs="Arial" w:eastAsia="Arial" w:hAnsi="Arial"/>
          <w:sz w:val="21"/>
          <w:szCs w:val="21"/>
          <w:color w:val="auto"/>
        </w:rPr>
        <w:t xml:space="preserve">With a copy </w:t>
      </w:r>
      <w:r>
        <w:rPr>
          <w:rFonts w:ascii="Arial" w:cs="Arial" w:eastAsia="Arial" w:hAnsi="Arial"/>
          <w:sz w:val="21"/>
          <w:szCs w:val="21"/>
          <w:b w:val="1"/>
          <w:bCs w:val="1"/>
          <w:color w:val="auto"/>
        </w:rPr>
        <w:t>OTHER than with respect to deliveries of financial statements</w:t>
      </w:r>
      <w:r>
        <w:rPr>
          <w:rFonts w:ascii="Arial" w:cs="Arial" w:eastAsia="Arial" w:hAnsi="Arial"/>
          <w:sz w:val="21"/>
          <w:szCs w:val="21"/>
          <w:color w:val="auto"/>
        </w:rPr>
        <w:t xml:space="preserve"> to:</w:t>
      </w:r>
    </w:p>
    <w:p>
      <w:pPr>
        <w:spacing w:after="0" w:line="258" w:lineRule="exact"/>
        <w:rPr>
          <w:sz w:val="20"/>
          <w:szCs w:val="20"/>
          <w:color w:val="auto"/>
        </w:rPr>
      </w:pPr>
    </w:p>
    <w:p>
      <w:pPr>
        <w:ind w:left="652" w:right="3839"/>
        <w:spacing w:after="0" w:line="251" w:lineRule="auto"/>
        <w:rPr>
          <w:sz w:val="20"/>
          <w:szCs w:val="20"/>
          <w:color w:val="auto"/>
        </w:rPr>
      </w:pPr>
      <w:r>
        <w:rPr>
          <w:rFonts w:ascii="Arial" w:cs="Arial" w:eastAsia="Arial" w:hAnsi="Arial"/>
          <w:sz w:val="22"/>
          <w:szCs w:val="22"/>
          <w:b w:val="1"/>
          <w:bCs w:val="1"/>
          <w:color w:val="auto"/>
        </w:rPr>
        <w:t xml:space="preserve">METROPOLITAN TOWER LIFE INSURANCE COMPANY </w:t>
      </w:r>
      <w:r>
        <w:rPr>
          <w:rFonts w:ascii="Arial" w:cs="Arial" w:eastAsia="Arial" w:hAnsi="Arial"/>
          <w:sz w:val="22"/>
          <w:szCs w:val="22"/>
          <w:color w:val="auto"/>
        </w:rPr>
        <w:t>c/o Metropolitan Life Insurance Company P.O. Box 1902</w:t>
      </w:r>
    </w:p>
    <w:p>
      <w:pPr>
        <w:ind w:left="652"/>
        <w:spacing w:after="0"/>
        <w:rPr>
          <w:sz w:val="20"/>
          <w:szCs w:val="20"/>
          <w:color w:val="auto"/>
        </w:rPr>
      </w:pPr>
      <w:r>
        <w:rPr>
          <w:rFonts w:ascii="Arial" w:cs="Arial" w:eastAsia="Arial" w:hAnsi="Arial"/>
          <w:sz w:val="22"/>
          <w:szCs w:val="22"/>
          <w:color w:val="auto"/>
        </w:rPr>
        <w:t>10 Park Avenue</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Morristown, New Jersey 07962-1902</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Attention: Chief Counsel-Securities Investments (PRIV)</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Email: sec_invest_law@metlife.com</w:t>
      </w:r>
    </w:p>
    <w:p>
      <w:pPr>
        <w:spacing w:after="0" w:line="236" w:lineRule="exact"/>
        <w:rPr>
          <w:sz w:val="20"/>
          <w:szCs w:val="20"/>
          <w:color w:val="auto"/>
        </w:rPr>
      </w:pPr>
    </w:p>
    <w:p>
      <w:pPr>
        <w:ind w:left="652" w:hanging="652"/>
        <w:spacing w:after="0"/>
        <w:tabs>
          <w:tab w:leader="none" w:pos="65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(Securities to be registered in the name of </w:t>
      </w:r>
      <w:r>
        <w:rPr>
          <w:rFonts w:ascii="Arial" w:cs="Arial" w:eastAsia="Arial" w:hAnsi="Arial"/>
          <w:sz w:val="19"/>
          <w:szCs w:val="19"/>
          <w:b w:val="1"/>
          <w:bCs w:val="1"/>
          <w:color w:val="auto"/>
        </w:rPr>
        <w:t>Metropolitan Tower Life Insurance Company</w:t>
      </w:r>
      <w:r>
        <w:rPr>
          <w:rFonts w:ascii="Arial" w:cs="Arial" w:eastAsia="Arial" w:hAnsi="Arial"/>
          <w:sz w:val="19"/>
          <w:szCs w:val="19"/>
          <w:color w:val="auto"/>
        </w:rPr>
        <w:t>)</w:t>
      </w:r>
    </w:p>
    <w:p>
      <w:pPr>
        <w:spacing w:after="0" w:line="327" w:lineRule="exact"/>
        <w:rPr>
          <w:rFonts w:ascii="Arial" w:cs="Arial" w:eastAsia="Arial" w:hAnsi="Arial"/>
          <w:sz w:val="19"/>
          <w:szCs w:val="19"/>
          <w:color w:val="auto"/>
        </w:rPr>
      </w:pPr>
    </w:p>
    <w:p>
      <w:pPr>
        <w:ind w:left="652" w:hanging="652"/>
        <w:spacing w:after="0"/>
        <w:tabs>
          <w:tab w:leader="none" w:pos="65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Taxpayer I.D. Number: 13-3114906</w:t>
      </w:r>
    </w:p>
    <w:p>
      <w:pPr>
        <w:spacing w:after="0" w:line="287" w:lineRule="exact"/>
        <w:rPr>
          <w:rFonts w:ascii="Arial" w:cs="Arial" w:eastAsia="Arial" w:hAnsi="Arial"/>
          <w:sz w:val="22"/>
          <w:szCs w:val="22"/>
          <w:color w:val="auto"/>
        </w:rPr>
      </w:pPr>
    </w:p>
    <w:p>
      <w:pPr>
        <w:ind w:left="652" w:hanging="652"/>
        <w:spacing w:after="0"/>
        <w:tabs>
          <w:tab w:leader="none" w:pos="65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UK Passport Treaty Number (if applicable): 13/M/298329/DTTP</w:t>
      </w:r>
    </w:p>
    <w:p>
      <w:pPr>
        <w:spacing w:after="0" w:line="287" w:lineRule="exact"/>
        <w:rPr>
          <w:rFonts w:ascii="Arial" w:cs="Arial" w:eastAsia="Arial" w:hAnsi="Arial"/>
          <w:sz w:val="22"/>
          <w:szCs w:val="22"/>
          <w:color w:val="auto"/>
        </w:rPr>
      </w:pPr>
    </w:p>
    <w:p>
      <w:pPr>
        <w:ind w:left="652" w:hanging="652"/>
        <w:spacing w:after="0"/>
        <w:tabs>
          <w:tab w:leader="none" w:pos="652" w:val="left"/>
        </w:tabs>
        <w:numPr>
          <w:ilvl w:val="0"/>
          <w:numId w:val="138"/>
        </w:numPr>
        <w:rPr>
          <w:rFonts w:ascii="Arial" w:cs="Arial" w:eastAsia="Arial" w:hAnsi="Arial"/>
          <w:sz w:val="22"/>
          <w:szCs w:val="22"/>
          <w:color w:val="auto"/>
        </w:rPr>
      </w:pPr>
      <w:r>
        <w:rPr>
          <w:rFonts w:ascii="Arial" w:cs="Arial" w:eastAsia="Arial" w:hAnsi="Arial"/>
          <w:sz w:val="22"/>
          <w:szCs w:val="22"/>
          <w:i w:val="1"/>
          <w:iCs w:val="1"/>
          <w:color w:val="auto"/>
        </w:rPr>
        <w:t>Original notes delivered to:</w:t>
      </w:r>
    </w:p>
    <w:p>
      <w:pPr>
        <w:spacing w:after="0" w:line="273" w:lineRule="exact"/>
        <w:rPr>
          <w:rFonts w:ascii="Arial" w:cs="Arial" w:eastAsia="Arial" w:hAnsi="Arial"/>
          <w:sz w:val="22"/>
          <w:szCs w:val="22"/>
          <w:color w:val="auto"/>
        </w:rPr>
      </w:pPr>
    </w:p>
    <w:p>
      <w:pPr>
        <w:ind w:left="652" w:right="4099"/>
        <w:spacing w:after="0" w:line="251" w:lineRule="auto"/>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METROPOLITAN TOWER LIFE INSURANCE COMPANY </w:t>
      </w:r>
      <w:r>
        <w:rPr>
          <w:rFonts w:ascii="Arial" w:cs="Arial" w:eastAsia="Arial" w:hAnsi="Arial"/>
          <w:sz w:val="22"/>
          <w:szCs w:val="22"/>
          <w:i w:val="1"/>
          <w:iCs w:val="1"/>
          <w:color w:val="auto"/>
        </w:rPr>
        <w:t>c/o Metropolitan Life Insurance Company</w:t>
      </w:r>
    </w:p>
    <w:p>
      <w:pPr>
        <w:spacing w:after="0" w:line="2" w:lineRule="exact"/>
        <w:rPr>
          <w:rFonts w:ascii="Arial" w:cs="Arial" w:eastAsia="Arial" w:hAnsi="Arial"/>
          <w:sz w:val="22"/>
          <w:szCs w:val="22"/>
          <w:color w:val="auto"/>
        </w:rPr>
      </w:pPr>
    </w:p>
    <w:p>
      <w:pPr>
        <w:ind w:left="652" w:right="6079"/>
        <w:spacing w:after="0" w:line="243" w:lineRule="auto"/>
        <w:rPr>
          <w:rFonts w:ascii="Arial" w:cs="Arial" w:eastAsia="Arial" w:hAnsi="Arial"/>
          <w:sz w:val="22"/>
          <w:szCs w:val="22"/>
          <w:color w:val="auto"/>
        </w:rPr>
      </w:pPr>
      <w:r>
        <w:rPr>
          <w:rFonts w:ascii="Arial" w:cs="Arial" w:eastAsia="Arial" w:hAnsi="Arial"/>
          <w:sz w:val="22"/>
          <w:szCs w:val="22"/>
          <w:i w:val="1"/>
          <w:iCs w:val="1"/>
          <w:color w:val="auto"/>
        </w:rPr>
        <w:t>Securities Investments, Law Department P.O. Box 1902</w:t>
      </w: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10 Park Avenue</w:t>
      </w:r>
    </w:p>
    <w:p>
      <w:pPr>
        <w:spacing w:after="0" w:line="3" w:lineRule="exact"/>
        <w:rPr>
          <w:rFonts w:ascii="Arial" w:cs="Arial" w:eastAsia="Arial" w:hAnsi="Arial"/>
          <w:sz w:val="22"/>
          <w:szCs w:val="22"/>
          <w:color w:val="auto"/>
        </w:rPr>
      </w:pPr>
    </w:p>
    <w:p>
      <w:pPr>
        <w:ind w:left="652" w:right="6339"/>
        <w:spacing w:after="0" w:line="323" w:lineRule="auto"/>
        <w:rPr>
          <w:rFonts w:ascii="Arial" w:cs="Arial" w:eastAsia="Arial" w:hAnsi="Arial"/>
          <w:sz w:val="22"/>
          <w:szCs w:val="22"/>
          <w:color w:val="auto"/>
        </w:rPr>
      </w:pPr>
      <w:r>
        <w:rPr>
          <w:rFonts w:ascii="Arial" w:cs="Arial" w:eastAsia="Arial" w:hAnsi="Arial"/>
          <w:sz w:val="19"/>
          <w:szCs w:val="19"/>
          <w:i w:val="1"/>
          <w:iCs w:val="1"/>
          <w:color w:val="auto"/>
        </w:rPr>
        <w:t>Morristown, New Jersey 07962-1902 Attention: Daniel Scudder, Esq.</w:t>
      </w:r>
    </w:p>
    <w:p>
      <w:pPr>
        <w:sectPr>
          <w:pgSz w:w="11900" w:h="16838" w:orient="portrait"/>
          <w:cols w:equalWidth="0" w:num="1">
            <w:col w:w="10211"/>
          </w:cols>
          <w:pgMar w:left="248" w:top="909" w:right="1440" w:bottom="1440" w:gutter="0" w:footer="0" w:header="0"/>
        </w:sectPr>
      </w:pPr>
    </w:p>
    <w:bookmarkStart w:id="193" w:name="page194"/>
    <w:bookmarkEnd w:id="193"/>
    <w:tbl>
      <w:tblPr>
        <w:tblLayout w:type="fixed"/>
        <w:tblInd w:w="40" w:type="dxa"/>
        <w:tblCellMar>
          <w:top w:w="0" w:type="dxa"/>
          <w:left w:w="0" w:type="dxa"/>
          <w:bottom w:w="0" w:type="dxa"/>
          <w:right w:w="0" w:type="dxa"/>
        </w:tblCellMar>
      </w:tblPr>
      <w:tr>
        <w:trPr>
          <w:trHeight w:val="253"/>
        </w:trPr>
        <w:tc>
          <w:tcPr>
            <w:tcW w:w="6500" w:type="dxa"/>
            <w:vAlign w:val="bottom"/>
          </w:tcPr>
          <w:p>
            <w:pPr>
              <w:spacing w:after="0"/>
              <w:rPr>
                <w:sz w:val="21"/>
                <w:szCs w:val="21"/>
                <w:color w:val="auto"/>
              </w:rPr>
            </w:pPr>
          </w:p>
        </w:tc>
        <w:tc>
          <w:tcPr>
            <w:tcW w:w="4380" w:type="dxa"/>
            <w:vAlign w:val="bottom"/>
            <w:gridSpan w:val="2"/>
          </w:tcPr>
          <w:p>
            <w:pPr>
              <w:jc w:val="center"/>
              <w:ind w:left="672"/>
              <w:spacing w:after="0"/>
              <w:rPr>
                <w:sz w:val="20"/>
                <w:szCs w:val="20"/>
                <w:color w:val="auto"/>
              </w:rPr>
            </w:pPr>
            <w:r>
              <w:rPr>
                <w:rFonts w:ascii="Arial" w:cs="Arial" w:eastAsia="Arial" w:hAnsi="Arial"/>
                <w:sz w:val="22"/>
                <w:szCs w:val="22"/>
                <w:color w:val="auto"/>
                <w:w w:val="89"/>
              </w:rPr>
              <w:t>Principal Amount and Series</w:t>
            </w:r>
          </w:p>
        </w:tc>
      </w:tr>
      <w:tr>
        <w:trPr>
          <w:trHeight w:val="275"/>
        </w:trPr>
        <w:tc>
          <w:tcPr>
            <w:tcW w:w="6500" w:type="dxa"/>
            <w:vAlign w:val="bottom"/>
          </w:tcPr>
          <w:p>
            <w:pPr>
              <w:ind w:left="2000"/>
              <w:spacing w:after="0"/>
              <w:rPr>
                <w:sz w:val="20"/>
                <w:szCs w:val="20"/>
                <w:color w:val="auto"/>
              </w:rPr>
            </w:pPr>
            <w:r>
              <w:rPr>
                <w:rFonts w:ascii="Arial" w:cs="Arial" w:eastAsia="Arial" w:hAnsi="Arial"/>
                <w:sz w:val="22"/>
                <w:szCs w:val="22"/>
                <w:color w:val="auto"/>
              </w:rPr>
              <w:t>Name and Address of Purchaser</w:t>
            </w:r>
          </w:p>
        </w:tc>
        <w:tc>
          <w:tcPr>
            <w:tcW w:w="4380" w:type="dxa"/>
            <w:vAlign w:val="bottom"/>
            <w:gridSpan w:val="2"/>
          </w:tcPr>
          <w:p>
            <w:pPr>
              <w:jc w:val="center"/>
              <w:ind w:left="712"/>
              <w:spacing w:after="0"/>
              <w:rPr>
                <w:sz w:val="20"/>
                <w:szCs w:val="20"/>
                <w:color w:val="auto"/>
              </w:rPr>
            </w:pPr>
            <w:r>
              <w:rPr>
                <w:rFonts w:ascii="Arial" w:cs="Arial" w:eastAsia="Arial" w:hAnsi="Arial"/>
                <w:sz w:val="22"/>
                <w:szCs w:val="22"/>
                <w:color w:val="auto"/>
                <w:w w:val="87"/>
              </w:rPr>
              <w:t>of Notes to Be Purchased</w:t>
            </w:r>
          </w:p>
        </w:tc>
      </w:tr>
      <w:tr>
        <w:trPr>
          <w:trHeight w:val="482"/>
        </w:trPr>
        <w:tc>
          <w:tcPr>
            <w:tcW w:w="6500" w:type="dxa"/>
            <w:vAlign w:val="bottom"/>
          </w:tcPr>
          <w:p>
            <w:pPr>
              <w:spacing w:after="0"/>
              <w:rPr>
                <w:sz w:val="20"/>
                <w:szCs w:val="20"/>
                <w:color w:val="auto"/>
              </w:rPr>
            </w:pPr>
            <w:r>
              <w:rPr>
                <w:rFonts w:ascii="Arial" w:cs="Arial" w:eastAsia="Arial" w:hAnsi="Arial"/>
                <w:sz w:val="22"/>
                <w:szCs w:val="22"/>
                <w:b w:val="1"/>
                <w:bCs w:val="1"/>
                <w:color w:val="auto"/>
              </w:rPr>
              <w:t>METLIFE INSURANCE COMPANY OF CONNECTICUT</w:t>
            </w:r>
          </w:p>
        </w:tc>
        <w:tc>
          <w:tcPr>
            <w:tcW w:w="2300" w:type="dxa"/>
            <w:vAlign w:val="bottom"/>
          </w:tcPr>
          <w:p>
            <w:pPr>
              <w:ind w:left="960"/>
              <w:spacing w:after="0"/>
              <w:rPr>
                <w:sz w:val="20"/>
                <w:szCs w:val="20"/>
                <w:color w:val="auto"/>
              </w:rPr>
            </w:pPr>
            <w:r>
              <w:rPr>
                <w:rFonts w:ascii="Arial" w:cs="Arial" w:eastAsia="Arial" w:hAnsi="Arial"/>
                <w:sz w:val="22"/>
                <w:szCs w:val="22"/>
                <w:color w:val="auto"/>
              </w:rPr>
              <w:t>Series B</w:t>
            </w:r>
          </w:p>
        </w:tc>
        <w:tc>
          <w:tcPr>
            <w:tcW w:w="2080" w:type="dxa"/>
            <w:vAlign w:val="bottom"/>
          </w:tcPr>
          <w:p>
            <w:pPr>
              <w:ind w:left="600"/>
              <w:spacing w:after="0"/>
              <w:rPr>
                <w:sz w:val="20"/>
                <w:szCs w:val="20"/>
                <w:color w:val="auto"/>
              </w:rPr>
            </w:pPr>
            <w:r>
              <w:rPr>
                <w:rFonts w:ascii="Arial" w:cs="Arial" w:eastAsia="Arial" w:hAnsi="Arial"/>
                <w:sz w:val="22"/>
                <w:szCs w:val="22"/>
                <w:color w:val="auto"/>
                <w:w w:val="91"/>
              </w:rPr>
              <w:t>U.S. $9,000,000</w:t>
            </w:r>
          </w:p>
        </w:tc>
      </w:tr>
      <w:tr>
        <w:trPr>
          <w:trHeight w:val="288"/>
        </w:trPr>
        <w:tc>
          <w:tcPr>
            <w:tcW w:w="6500" w:type="dxa"/>
            <w:vAlign w:val="bottom"/>
          </w:tcPr>
          <w:p>
            <w:pPr>
              <w:spacing w:after="0"/>
              <w:rPr>
                <w:sz w:val="20"/>
                <w:szCs w:val="20"/>
                <w:color w:val="auto"/>
              </w:rPr>
            </w:pPr>
            <w:r>
              <w:rPr>
                <w:rFonts w:ascii="Arial" w:cs="Arial" w:eastAsia="Arial" w:hAnsi="Arial"/>
                <w:sz w:val="22"/>
                <w:szCs w:val="22"/>
                <w:color w:val="auto"/>
              </w:rPr>
              <w:t>c/o Metropolitan Life Insurance Company</w:t>
            </w:r>
          </w:p>
        </w:tc>
        <w:tc>
          <w:tcPr>
            <w:tcW w:w="2300" w:type="dxa"/>
            <w:vAlign w:val="bottom"/>
          </w:tcPr>
          <w:p>
            <w:pPr>
              <w:ind w:left="1000"/>
              <w:spacing w:after="0"/>
              <w:rPr>
                <w:sz w:val="20"/>
                <w:szCs w:val="20"/>
                <w:color w:val="auto"/>
              </w:rPr>
            </w:pPr>
            <w:r>
              <w:rPr>
                <w:rFonts w:ascii="Arial" w:cs="Arial" w:eastAsia="Arial" w:hAnsi="Arial"/>
                <w:sz w:val="22"/>
                <w:szCs w:val="22"/>
                <w:color w:val="auto"/>
              </w:rPr>
              <w:t>Series C</w:t>
            </w:r>
          </w:p>
        </w:tc>
        <w:tc>
          <w:tcPr>
            <w:tcW w:w="2080" w:type="dxa"/>
            <w:vAlign w:val="bottom"/>
          </w:tcPr>
          <w:p>
            <w:pPr>
              <w:ind w:left="580"/>
              <w:spacing w:after="0"/>
              <w:rPr>
                <w:sz w:val="20"/>
                <w:szCs w:val="20"/>
                <w:color w:val="auto"/>
              </w:rPr>
            </w:pPr>
            <w:r>
              <w:rPr>
                <w:rFonts w:ascii="Arial" w:cs="Arial" w:eastAsia="Arial" w:hAnsi="Arial"/>
                <w:sz w:val="22"/>
                <w:szCs w:val="22"/>
                <w:color w:val="auto"/>
                <w:w w:val="86"/>
              </w:rPr>
              <w:t>U.S. $11,000,000</w:t>
            </w:r>
          </w:p>
        </w:tc>
      </w:tr>
    </w:tbl>
    <w:p>
      <w:pPr>
        <w:ind w:left="40"/>
        <w:spacing w:after="0" w:line="230" w:lineRule="auto"/>
        <w:rPr>
          <w:sz w:val="20"/>
          <w:szCs w:val="20"/>
          <w:color w:val="auto"/>
        </w:rPr>
      </w:pPr>
      <w:r>
        <w:rPr>
          <w:rFonts w:ascii="Arial" w:cs="Arial" w:eastAsia="Arial" w:hAnsi="Arial"/>
          <w:sz w:val="22"/>
          <w:szCs w:val="22"/>
          <w:color w:val="auto"/>
        </w:rPr>
        <w:t>1095 Avenue of the Americas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York, New York 10036</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87"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scheduled payments of principal and interest by wire transfer of immediately available funds to:</w:t>
      </w:r>
    </w:p>
    <w:p>
      <w:pPr>
        <w:spacing w:after="0" w:line="28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Bank Name:  JPMorgan Chase Bank</w:t>
      </w:r>
    </w:p>
    <w:p>
      <w:pPr>
        <w:spacing w:after="0" w:line="4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ABA Routing #:  021-000-021</w:t>
      </w:r>
    </w:p>
    <w:p>
      <w:pPr>
        <w:spacing w:after="0" w:line="4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Account No.:  910-2-587434</w:t>
      </w:r>
    </w:p>
    <w:p>
      <w:pPr>
        <w:spacing w:after="0" w:line="4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Account Name:  MetLife Insurance Company of Connecticut</w:t>
      </w:r>
    </w:p>
    <w:p>
      <w:pPr>
        <w:spacing w:after="0" w:line="44" w:lineRule="exact"/>
        <w:rPr>
          <w:rFonts w:ascii="Arial" w:cs="Arial" w:eastAsia="Arial" w:hAnsi="Arial"/>
          <w:sz w:val="22"/>
          <w:szCs w:val="22"/>
          <w:color w:val="auto"/>
        </w:rPr>
      </w:pPr>
    </w:p>
    <w:p>
      <w:pPr>
        <w:ind w:left="920" w:right="4800" w:hanging="270"/>
        <w:spacing w:after="0" w:line="315" w:lineRule="auto"/>
        <w:rPr>
          <w:rFonts w:ascii="Arial" w:cs="Arial" w:eastAsia="Arial" w:hAnsi="Arial"/>
          <w:sz w:val="22"/>
          <w:szCs w:val="22"/>
          <w:color w:val="auto"/>
        </w:rPr>
      </w:pPr>
      <w:r>
        <w:rPr>
          <w:rFonts w:ascii="Arial" w:cs="Arial" w:eastAsia="Arial" w:hAnsi="Arial"/>
          <w:sz w:val="22"/>
          <w:szCs w:val="22"/>
          <w:color w:val="auto"/>
        </w:rPr>
        <w:t>Ref: American Assets Trust LP 4.50% DUE 04/01/2025 &amp; 4.45% DUE 02/02/2025</w:t>
      </w:r>
    </w:p>
    <w:p>
      <w:pPr>
        <w:spacing w:after="0" w:line="173" w:lineRule="exact"/>
        <w:rPr>
          <w:sz w:val="20"/>
          <w:szCs w:val="20"/>
          <w:color w:val="auto"/>
        </w:rPr>
      </w:pPr>
    </w:p>
    <w:p>
      <w:pPr>
        <w:ind w:left="340" w:right="120"/>
        <w:spacing w:after="0" w:line="263" w:lineRule="auto"/>
        <w:rPr>
          <w:sz w:val="20"/>
          <w:szCs w:val="20"/>
          <w:color w:val="auto"/>
        </w:rPr>
      </w:pPr>
      <w:r>
        <w:rPr>
          <w:rFonts w:ascii="Arial" w:cs="Arial" w:eastAsia="Arial" w:hAnsi="Arial"/>
          <w:sz w:val="22"/>
          <w:szCs w:val="22"/>
          <w:color w:val="auto"/>
        </w:rPr>
        <w:t>with sufficient information to identify the source and application of such funds, including issuer, PPN#, interest rate, maturity and whether payment is of principal, interest, make whole amount or otherwise.</w:t>
      </w:r>
    </w:p>
    <w:p>
      <w:pPr>
        <w:spacing w:after="0" w:line="202" w:lineRule="exact"/>
        <w:rPr>
          <w:sz w:val="20"/>
          <w:szCs w:val="20"/>
          <w:color w:val="auto"/>
        </w:rPr>
      </w:pPr>
    </w:p>
    <w:p>
      <w:pPr>
        <w:ind w:left="340"/>
        <w:spacing w:after="0" w:line="343" w:lineRule="auto"/>
        <w:rPr>
          <w:sz w:val="20"/>
          <w:szCs w:val="20"/>
          <w:color w:val="auto"/>
        </w:rPr>
      </w:pPr>
      <w:r>
        <w:rPr>
          <w:rFonts w:ascii="Arial" w:cs="Arial" w:eastAsia="Arial" w:hAnsi="Arial"/>
          <w:sz w:val="19"/>
          <w:szCs w:val="19"/>
          <w:color w:val="auto"/>
        </w:rPr>
        <w:t>For all payments other than scheduled payments of principal and interest, the Company shall seek instructions from the holder, and in the absence of instructions to the contrary, will make such payments to the account and in the manner set forth above.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Notices</w:t>
      </w:r>
    </w:p>
    <w:p>
      <w:pPr>
        <w:spacing w:after="0" w:line="287"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All notices and communications:</w:t>
      </w:r>
    </w:p>
    <w:p>
      <w:pPr>
        <w:spacing w:after="0" w:line="267" w:lineRule="exact"/>
        <w:rPr>
          <w:rFonts w:ascii="Arial" w:cs="Arial" w:eastAsia="Arial" w:hAnsi="Arial"/>
          <w:sz w:val="22"/>
          <w:szCs w:val="22"/>
          <w:color w:val="auto"/>
        </w:rPr>
      </w:pPr>
    </w:p>
    <w:p>
      <w:pPr>
        <w:ind w:left="660" w:right="6560"/>
        <w:spacing w:after="0" w:line="290" w:lineRule="auto"/>
        <w:rPr>
          <w:rFonts w:ascii="Arial" w:cs="Arial" w:eastAsia="Arial" w:hAnsi="Arial"/>
          <w:sz w:val="22"/>
          <w:szCs w:val="22"/>
          <w:color w:val="auto"/>
        </w:rPr>
      </w:pPr>
      <w:r>
        <w:rPr>
          <w:rFonts w:ascii="Arial" w:cs="Arial" w:eastAsia="Arial" w:hAnsi="Arial"/>
          <w:sz w:val="19"/>
          <w:szCs w:val="19"/>
          <w:b w:val="1"/>
          <w:bCs w:val="1"/>
          <w:color w:val="auto"/>
        </w:rPr>
        <w:t xml:space="preserve">MetLife Insurance Company of Connecticut </w:t>
      </w:r>
      <w:r>
        <w:rPr>
          <w:rFonts w:ascii="Arial" w:cs="Arial" w:eastAsia="Arial" w:hAnsi="Arial"/>
          <w:sz w:val="19"/>
          <w:szCs w:val="19"/>
          <w:color w:val="auto"/>
        </w:rPr>
        <w:t>c/o Metropolitan Life Insurance Company Investments, Private Placements</w:t>
      </w:r>
    </w:p>
    <w:p>
      <w:pPr>
        <w:spacing w:after="0" w:line="1"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color w:val="auto"/>
        </w:rPr>
        <w:t>P.O. Box 1902</w:t>
      </w:r>
    </w:p>
    <w:p>
      <w:pPr>
        <w:spacing w:after="0" w:line="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10 Park Avenue</w:t>
      </w:r>
    </w:p>
    <w:p>
      <w:pPr>
        <w:spacing w:after="0" w:line="3" w:lineRule="exact"/>
        <w:rPr>
          <w:rFonts w:ascii="Arial" w:cs="Arial" w:eastAsia="Arial" w:hAnsi="Arial"/>
          <w:sz w:val="22"/>
          <w:szCs w:val="22"/>
          <w:color w:val="auto"/>
        </w:rPr>
      </w:pPr>
    </w:p>
    <w:p>
      <w:pPr>
        <w:ind w:left="660" w:right="7420"/>
        <w:spacing w:after="0" w:line="243" w:lineRule="auto"/>
        <w:rPr>
          <w:rFonts w:ascii="Arial" w:cs="Arial" w:eastAsia="Arial" w:hAnsi="Arial"/>
          <w:sz w:val="22"/>
          <w:szCs w:val="22"/>
          <w:color w:val="auto"/>
        </w:rPr>
      </w:pPr>
      <w:r>
        <w:rPr>
          <w:rFonts w:ascii="Arial" w:cs="Arial" w:eastAsia="Arial" w:hAnsi="Arial"/>
          <w:sz w:val="22"/>
          <w:szCs w:val="22"/>
          <w:color w:val="auto"/>
        </w:rPr>
        <w:t>Morristown, New Jersey 07962-1902 Attention: Director</w:t>
      </w:r>
    </w:p>
    <w:p>
      <w:pPr>
        <w:ind w:left="660"/>
        <w:spacing w:after="0"/>
        <w:rPr>
          <w:rFonts w:ascii="Arial" w:cs="Arial" w:eastAsia="Arial" w:hAnsi="Arial"/>
          <w:sz w:val="22"/>
          <w:szCs w:val="22"/>
          <w:color w:val="auto"/>
        </w:rPr>
      </w:pPr>
      <w:r>
        <w:rPr>
          <w:rFonts w:ascii="Arial" w:cs="Arial" w:eastAsia="Arial" w:hAnsi="Arial"/>
          <w:sz w:val="22"/>
          <w:szCs w:val="22"/>
          <w:color w:val="auto"/>
        </w:rPr>
        <w:t>Facsimile (973) 355-4250</w:t>
      </w:r>
    </w:p>
    <w:p>
      <w:pPr>
        <w:sectPr>
          <w:pgSz w:w="11900" w:h="16838" w:orient="portrait"/>
          <w:cols w:equalWidth="0" w:num="1">
            <w:col w:w="11300"/>
          </w:cols>
          <w:pgMar w:left="240" w:top="1283" w:right="359" w:bottom="1440" w:gutter="0" w:footer="0" w:header="0"/>
        </w:sectPr>
      </w:pPr>
    </w:p>
    <w:bookmarkStart w:id="194" w:name="page195"/>
    <w:bookmarkEnd w:id="194"/>
    <w:p>
      <w:pPr>
        <w:ind w:left="652"/>
        <w:spacing w:after="0"/>
        <w:rPr>
          <w:sz w:val="20"/>
          <w:szCs w:val="20"/>
          <w:color w:val="auto"/>
        </w:rPr>
      </w:pPr>
      <w:r>
        <w:rPr>
          <w:rFonts w:ascii="Arial" w:cs="Arial" w:eastAsia="Arial" w:hAnsi="Arial"/>
          <w:sz w:val="21"/>
          <w:szCs w:val="21"/>
          <w:color w:val="auto"/>
        </w:rPr>
        <w:t xml:space="preserve">With a copy </w:t>
      </w:r>
      <w:r>
        <w:rPr>
          <w:rFonts w:ascii="Arial" w:cs="Arial" w:eastAsia="Arial" w:hAnsi="Arial"/>
          <w:sz w:val="21"/>
          <w:szCs w:val="21"/>
          <w:b w:val="1"/>
          <w:bCs w:val="1"/>
          <w:color w:val="auto"/>
        </w:rPr>
        <w:t>OTHER than with respect to deliveries of financial statements</w:t>
      </w:r>
      <w:r>
        <w:rPr>
          <w:rFonts w:ascii="Arial" w:cs="Arial" w:eastAsia="Arial" w:hAnsi="Arial"/>
          <w:sz w:val="21"/>
          <w:szCs w:val="21"/>
          <w:color w:val="auto"/>
        </w:rPr>
        <w:t xml:space="preserve"> to:</w:t>
      </w:r>
    </w:p>
    <w:p>
      <w:pPr>
        <w:spacing w:after="0" w:line="258" w:lineRule="exact"/>
        <w:rPr>
          <w:sz w:val="20"/>
          <w:szCs w:val="20"/>
          <w:color w:val="auto"/>
        </w:rPr>
      </w:pPr>
    </w:p>
    <w:p>
      <w:pPr>
        <w:ind w:left="652"/>
        <w:spacing w:after="0"/>
        <w:rPr>
          <w:sz w:val="20"/>
          <w:szCs w:val="20"/>
          <w:color w:val="auto"/>
        </w:rPr>
      </w:pPr>
      <w:r>
        <w:rPr>
          <w:rFonts w:ascii="Arial" w:cs="Arial" w:eastAsia="Arial" w:hAnsi="Arial"/>
          <w:sz w:val="22"/>
          <w:szCs w:val="22"/>
          <w:b w:val="1"/>
          <w:bCs w:val="1"/>
          <w:color w:val="auto"/>
        </w:rPr>
        <w:t>MetLife Insurance Company of Connecticut</w:t>
      </w:r>
    </w:p>
    <w:p>
      <w:pPr>
        <w:spacing w:after="0" w:line="28" w:lineRule="exact"/>
        <w:rPr>
          <w:sz w:val="20"/>
          <w:szCs w:val="20"/>
          <w:color w:val="auto"/>
        </w:rPr>
      </w:pPr>
    </w:p>
    <w:p>
      <w:pPr>
        <w:ind w:left="652"/>
        <w:spacing w:after="0"/>
        <w:rPr>
          <w:sz w:val="20"/>
          <w:szCs w:val="20"/>
          <w:color w:val="auto"/>
        </w:rPr>
      </w:pPr>
      <w:r>
        <w:rPr>
          <w:rFonts w:ascii="Arial" w:cs="Arial" w:eastAsia="Arial" w:hAnsi="Arial"/>
          <w:sz w:val="22"/>
          <w:szCs w:val="22"/>
          <w:color w:val="auto"/>
        </w:rPr>
        <w:t>c/o Metropolitan Life Insurance Company</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P.O. Box 1902</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10 Park Avenue</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Morristown, New Jersey 07962-1902</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Attention: Chief Counsel-Securities Investments (PRIV)</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Email: sec_invest_law@metlife.com</w:t>
      </w:r>
    </w:p>
    <w:p>
      <w:pPr>
        <w:spacing w:after="0" w:line="236" w:lineRule="exact"/>
        <w:rPr>
          <w:sz w:val="20"/>
          <w:szCs w:val="20"/>
          <w:color w:val="auto"/>
        </w:rPr>
      </w:pPr>
    </w:p>
    <w:p>
      <w:pPr>
        <w:ind w:left="652" w:hanging="652"/>
        <w:spacing w:after="0"/>
        <w:tabs>
          <w:tab w:leader="none" w:pos="652"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(Securities to be registered in the name of </w:t>
      </w:r>
      <w:r>
        <w:rPr>
          <w:rFonts w:ascii="Arial" w:cs="Arial" w:eastAsia="Arial" w:hAnsi="Arial"/>
          <w:sz w:val="19"/>
          <w:szCs w:val="19"/>
          <w:b w:val="1"/>
          <w:bCs w:val="1"/>
          <w:color w:val="auto"/>
        </w:rPr>
        <w:t>MetLife Insurance Company of Connecticut</w:t>
      </w:r>
      <w:r>
        <w:rPr>
          <w:rFonts w:ascii="Arial" w:cs="Arial" w:eastAsia="Arial" w:hAnsi="Arial"/>
          <w:sz w:val="19"/>
          <w:szCs w:val="19"/>
          <w:color w:val="auto"/>
        </w:rPr>
        <w:t>)</w:t>
      </w:r>
    </w:p>
    <w:p>
      <w:pPr>
        <w:spacing w:after="0" w:line="327" w:lineRule="exact"/>
        <w:rPr>
          <w:rFonts w:ascii="Arial" w:cs="Arial" w:eastAsia="Arial" w:hAnsi="Arial"/>
          <w:sz w:val="19"/>
          <w:szCs w:val="19"/>
          <w:color w:val="auto"/>
        </w:rPr>
      </w:pPr>
    </w:p>
    <w:p>
      <w:pPr>
        <w:ind w:left="652" w:hanging="652"/>
        <w:spacing w:after="0"/>
        <w:tabs>
          <w:tab w:leader="none" w:pos="65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Taxpayer I.D. Number: 06-0566090</w:t>
      </w:r>
    </w:p>
    <w:p>
      <w:pPr>
        <w:spacing w:after="0" w:line="287" w:lineRule="exact"/>
        <w:rPr>
          <w:rFonts w:ascii="Arial" w:cs="Arial" w:eastAsia="Arial" w:hAnsi="Arial"/>
          <w:sz w:val="22"/>
          <w:szCs w:val="22"/>
          <w:color w:val="auto"/>
        </w:rPr>
      </w:pPr>
    </w:p>
    <w:p>
      <w:pPr>
        <w:ind w:left="652" w:hanging="652"/>
        <w:spacing w:after="0"/>
        <w:tabs>
          <w:tab w:leader="none" w:pos="65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UK Passport Treaty Number (if applicable): 13/M/61653/DTTP</w:t>
      </w:r>
    </w:p>
    <w:p>
      <w:pPr>
        <w:spacing w:after="0" w:line="287" w:lineRule="exact"/>
        <w:rPr>
          <w:rFonts w:ascii="Arial" w:cs="Arial" w:eastAsia="Arial" w:hAnsi="Arial"/>
          <w:sz w:val="22"/>
          <w:szCs w:val="22"/>
          <w:color w:val="auto"/>
        </w:rPr>
      </w:pPr>
    </w:p>
    <w:p>
      <w:pPr>
        <w:ind w:left="652" w:hanging="652"/>
        <w:spacing w:after="0"/>
        <w:tabs>
          <w:tab w:leader="none" w:pos="652" w:val="left"/>
        </w:tabs>
        <w:numPr>
          <w:ilvl w:val="0"/>
          <w:numId w:val="141"/>
        </w:numPr>
        <w:rPr>
          <w:rFonts w:ascii="Arial" w:cs="Arial" w:eastAsia="Arial" w:hAnsi="Arial"/>
          <w:sz w:val="22"/>
          <w:szCs w:val="22"/>
          <w:color w:val="auto"/>
        </w:rPr>
      </w:pPr>
      <w:r>
        <w:rPr>
          <w:rFonts w:ascii="Arial" w:cs="Arial" w:eastAsia="Arial" w:hAnsi="Arial"/>
          <w:sz w:val="22"/>
          <w:szCs w:val="22"/>
          <w:i w:val="1"/>
          <w:iCs w:val="1"/>
          <w:color w:val="auto"/>
        </w:rPr>
        <w:t>Original notes delivered to:</w:t>
      </w:r>
    </w:p>
    <w:p>
      <w:pPr>
        <w:spacing w:after="0" w:line="273" w:lineRule="exact"/>
        <w:rPr>
          <w:rFonts w:ascii="Arial" w:cs="Arial" w:eastAsia="Arial" w:hAnsi="Arial"/>
          <w:sz w:val="22"/>
          <w:szCs w:val="22"/>
          <w:color w:val="auto"/>
        </w:rPr>
      </w:pPr>
    </w:p>
    <w:p>
      <w:pPr>
        <w:ind w:left="652" w:right="5619"/>
        <w:spacing w:after="0" w:line="288" w:lineRule="auto"/>
        <w:rPr>
          <w:rFonts w:ascii="Arial" w:cs="Arial" w:eastAsia="Arial" w:hAnsi="Arial"/>
          <w:sz w:val="22"/>
          <w:szCs w:val="22"/>
          <w:color w:val="auto"/>
        </w:rPr>
      </w:pPr>
      <w:r>
        <w:rPr>
          <w:rFonts w:ascii="Arial" w:cs="Arial" w:eastAsia="Arial" w:hAnsi="Arial"/>
          <w:sz w:val="19"/>
          <w:szCs w:val="19"/>
          <w:b w:val="1"/>
          <w:bCs w:val="1"/>
          <w:i w:val="1"/>
          <w:iCs w:val="1"/>
          <w:color w:val="auto"/>
        </w:rPr>
        <w:t xml:space="preserve">MetLife Insurance Company of Connecticut </w:t>
      </w:r>
      <w:r>
        <w:rPr>
          <w:rFonts w:ascii="Arial" w:cs="Arial" w:eastAsia="Arial" w:hAnsi="Arial"/>
          <w:sz w:val="19"/>
          <w:szCs w:val="19"/>
          <w:i w:val="1"/>
          <w:iCs w:val="1"/>
          <w:color w:val="auto"/>
        </w:rPr>
        <w:t>c/o Metropolitan Life Insurance Company Securities Investments, Law Department</w:t>
      </w:r>
    </w:p>
    <w:p>
      <w:pPr>
        <w:spacing w:after="0" w:line="1"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10 Park Avenue</w:t>
      </w:r>
    </w:p>
    <w:p>
      <w:pPr>
        <w:spacing w:after="0" w:line="3" w:lineRule="exact"/>
        <w:rPr>
          <w:rFonts w:ascii="Arial" w:cs="Arial" w:eastAsia="Arial" w:hAnsi="Arial"/>
          <w:sz w:val="22"/>
          <w:szCs w:val="22"/>
          <w:color w:val="auto"/>
        </w:rPr>
      </w:pPr>
    </w:p>
    <w:p>
      <w:pPr>
        <w:ind w:left="652" w:right="6339"/>
        <w:spacing w:after="0" w:line="323" w:lineRule="auto"/>
        <w:rPr>
          <w:rFonts w:ascii="Arial" w:cs="Arial" w:eastAsia="Arial" w:hAnsi="Arial"/>
          <w:sz w:val="22"/>
          <w:szCs w:val="22"/>
          <w:color w:val="auto"/>
        </w:rPr>
      </w:pPr>
      <w:r>
        <w:rPr>
          <w:rFonts w:ascii="Arial" w:cs="Arial" w:eastAsia="Arial" w:hAnsi="Arial"/>
          <w:sz w:val="19"/>
          <w:szCs w:val="19"/>
          <w:i w:val="1"/>
          <w:iCs w:val="1"/>
          <w:color w:val="auto"/>
        </w:rPr>
        <w:t>Morristown, New Jersey 07962-1902 Attention: Daniel Scudder, Esq.</w:t>
      </w:r>
    </w:p>
    <w:p>
      <w:pPr>
        <w:sectPr>
          <w:pgSz w:w="11900" w:h="16838" w:orient="portrait"/>
          <w:cols w:equalWidth="0" w:num="1">
            <w:col w:w="10211"/>
          </w:cols>
          <w:pgMar w:left="248" w:top="1166" w:right="1440" w:bottom="1440" w:gutter="0" w:footer="0" w:header="0"/>
        </w:sectPr>
      </w:pPr>
    </w:p>
    <w:bookmarkStart w:id="195" w:name="page196"/>
    <w:bookmarkEnd w:id="195"/>
    <w:p>
      <w:pPr>
        <w:spacing w:after="0" w:line="353"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 and Address of Purchaser</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40"/>
        <w:spacing w:after="0"/>
        <w:rPr>
          <w:sz w:val="20"/>
          <w:szCs w:val="20"/>
          <w:color w:val="auto"/>
        </w:rPr>
      </w:pPr>
      <w:r>
        <w:rPr>
          <w:rFonts w:ascii="Arial" w:cs="Arial" w:eastAsia="Arial" w:hAnsi="Arial"/>
          <w:sz w:val="21"/>
          <w:szCs w:val="21"/>
          <w:color w:val="auto"/>
        </w:rPr>
        <w:t>Principal Amount of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Notes to be Purchased</w:t>
      </w:r>
    </w:p>
    <w:p>
      <w:pPr>
        <w:spacing w:after="0" w:line="200" w:lineRule="exact"/>
        <w:rPr>
          <w:sz w:val="20"/>
          <w:szCs w:val="20"/>
          <w:color w:val="auto"/>
        </w:rPr>
      </w:pPr>
    </w:p>
    <w:p>
      <w:pPr>
        <w:sectPr>
          <w:pgSz w:w="11900" w:h="16838" w:orient="portrait"/>
          <w:cols w:equalWidth="0" w:num="2">
            <w:col w:w="7400" w:space="720"/>
            <w:col w:w="2680"/>
          </w:cols>
          <w:pgMar w:left="240" w:top="1440" w:right="859" w:bottom="1440" w:gutter="0" w:footer="0" w:header="0"/>
        </w:sectPr>
      </w:pPr>
    </w:p>
    <w:p>
      <w:pPr>
        <w:spacing w:after="0" w:line="10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NATIONWIDE LIFE INSURANCE COMPANY</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Series A</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U.$. 27,000,000</w:t>
      </w:r>
    </w:p>
    <w:p>
      <w:pPr>
        <w:spacing w:after="0" w:line="60" w:lineRule="exact"/>
        <w:rPr>
          <w:sz w:val="20"/>
          <w:szCs w:val="20"/>
          <w:color w:val="auto"/>
        </w:rPr>
      </w:pPr>
    </w:p>
    <w:p>
      <w:pPr>
        <w:sectPr>
          <w:pgSz w:w="11900" w:h="16838" w:orient="portrait"/>
          <w:cols w:equalWidth="0" w:num="3">
            <w:col w:w="6680" w:space="720"/>
            <w:col w:w="1300" w:space="720"/>
            <w:col w:w="1380"/>
          </w:cols>
          <w:pgMar w:left="240" w:top="1440" w:right="859" w:bottom="1440" w:gutter="0" w:footer="0" w:header="0"/>
          <w:type w:val="continuous"/>
        </w:sectPr>
      </w:pPr>
    </w:p>
    <w:p>
      <w:pPr>
        <w:ind w:left="40"/>
        <w:spacing w:after="0"/>
        <w:rPr>
          <w:sz w:val="20"/>
          <w:szCs w:val="20"/>
          <w:color w:val="auto"/>
        </w:rPr>
      </w:pPr>
      <w:r>
        <w:rPr>
          <w:rFonts w:ascii="Arial" w:cs="Arial" w:eastAsia="Arial" w:hAnsi="Arial"/>
          <w:sz w:val="22"/>
          <w:szCs w:val="22"/>
          <w:color w:val="auto"/>
        </w:rPr>
        <w:t>Nationwide Investments - Investment Operations</w:t>
      </w:r>
    </w:p>
    <w:p>
      <w:pPr>
        <w:ind w:left="40"/>
        <w:spacing w:after="0" w:line="230" w:lineRule="auto"/>
        <w:rPr>
          <w:sz w:val="20"/>
          <w:szCs w:val="20"/>
          <w:color w:val="auto"/>
        </w:rPr>
      </w:pPr>
      <w:r>
        <w:rPr>
          <w:rFonts w:ascii="Arial" w:cs="Arial" w:eastAsia="Arial" w:hAnsi="Arial"/>
          <w:sz w:val="22"/>
          <w:szCs w:val="22"/>
          <w:color w:val="auto"/>
        </w:rPr>
        <w:t>One Nationwide Plaza (1-05-401)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Columbus, OH 43215-2220</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Wiring instructions: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Bank of New York Mellon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#021-000-018</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BNF: IOC566</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F/A/O Nationwide Life Insurance Co. Acct #267829</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P &amp; I Department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PPN# 02401@ AA7</w:t>
      </w:r>
    </w:p>
    <w:p>
      <w:pPr>
        <w:spacing w:after="0" w:line="44" w:lineRule="exact"/>
        <w:rPr>
          <w:sz w:val="20"/>
          <w:szCs w:val="20"/>
          <w:color w:val="auto"/>
        </w:rPr>
      </w:pPr>
    </w:p>
    <w:p>
      <w:pPr>
        <w:ind w:left="2600" w:right="2720" w:hanging="1944"/>
        <w:spacing w:after="0" w:line="302" w:lineRule="auto"/>
        <w:rPr>
          <w:sz w:val="20"/>
          <w:szCs w:val="20"/>
          <w:color w:val="auto"/>
        </w:rPr>
      </w:pPr>
      <w:r>
        <w:rPr>
          <w:rFonts w:ascii="Arial" w:cs="Arial" w:eastAsia="Arial" w:hAnsi="Arial"/>
          <w:sz w:val="22"/>
          <w:szCs w:val="22"/>
          <w:color w:val="auto"/>
        </w:rPr>
        <w:t>Security Description: American Assets Trust, L.P., 4.04% Senior Notes, Series A, due 10/31/2021</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Send notices and communications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Nationwide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Nationwide Investments – Private Placements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ooinwpp@nationwide.com</w:t>
      </w:r>
    </w:p>
    <w:p>
      <w:pPr>
        <w:spacing w:after="0" w:line="44"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One Nationwide Plaza (1</w:t>
      </w:r>
      <w:r>
        <w:rPr>
          <w:rFonts w:ascii="MS PGothic" w:cs="MS PGothic" w:eastAsia="MS PGothic" w:hAnsi="MS PGothic"/>
          <w:sz w:val="22"/>
          <w:szCs w:val="22"/>
          <w:color w:val="auto"/>
        </w:rPr>
        <w:t>‑</w:t>
      </w:r>
      <w:r>
        <w:rPr>
          <w:rFonts w:ascii="Arial" w:cs="Arial" w:eastAsia="Arial" w:hAnsi="Arial"/>
          <w:sz w:val="22"/>
          <w:szCs w:val="22"/>
          <w:color w:val="auto"/>
        </w:rPr>
        <w:t>05-801)</w:t>
      </w:r>
    </w:p>
    <w:p>
      <w:pPr>
        <w:spacing w:after="0" w:line="44"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Columbus, OH 43215</w:t>
      </w:r>
      <w:r>
        <w:rPr>
          <w:rFonts w:ascii="MS PGothic" w:cs="MS PGothic" w:eastAsia="MS PGothic" w:hAnsi="MS PGothic"/>
          <w:sz w:val="22"/>
          <w:szCs w:val="22"/>
          <w:color w:val="auto"/>
        </w:rPr>
        <w:t>‑</w:t>
      </w:r>
      <w:r>
        <w:rPr>
          <w:rFonts w:ascii="Arial" w:cs="Arial" w:eastAsia="Arial" w:hAnsi="Arial"/>
          <w:sz w:val="22"/>
          <w:szCs w:val="22"/>
          <w:color w:val="auto"/>
        </w:rPr>
        <w:t>2220</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All notices of payment on or in respect to the security should be sent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Nationwide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The Bank of New York Mellon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 O Box 19266</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P &amp; I Department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Newark, NJ 07195</w:t>
      </w:r>
    </w:p>
    <w:p>
      <w:pPr>
        <w:sectPr>
          <w:pgSz w:w="11900" w:h="16838" w:orient="portrait"/>
          <w:cols w:equalWidth="0" w:num="1">
            <w:col w:w="10800"/>
          </w:cols>
          <w:pgMar w:left="240" w:top="1440" w:right="859" w:bottom="1440" w:gutter="0" w:footer="0" w:header="0"/>
          <w:type w:val="continuous"/>
        </w:sectPr>
      </w:pPr>
    </w:p>
    <w:bookmarkStart w:id="196" w:name="page197"/>
    <w:bookmarkEnd w:id="196"/>
    <w:p>
      <w:pPr>
        <w:ind w:left="660"/>
        <w:spacing w:after="0"/>
        <w:rPr>
          <w:sz w:val="20"/>
          <w:szCs w:val="20"/>
          <w:color w:val="auto"/>
        </w:rPr>
      </w:pPr>
      <w:r>
        <w:rPr>
          <w:rFonts w:ascii="Arial" w:cs="Arial" w:eastAsia="Arial" w:hAnsi="Arial"/>
          <w:sz w:val="22"/>
          <w:szCs w:val="22"/>
          <w:color w:val="auto"/>
        </w:rPr>
        <w:t>With a copy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Nationwide Life Insurance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Nationwide Investments - Investment Operations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One Nationwide Plaza (1-05-401)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Columbus, OH 43215-2220</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original note should be registered in the name of </w:t>
      </w:r>
      <w:r>
        <w:rPr>
          <w:rFonts w:ascii="Arial" w:cs="Arial" w:eastAsia="Arial" w:hAnsi="Arial"/>
          <w:sz w:val="19"/>
          <w:szCs w:val="19"/>
          <w:b w:val="1"/>
          <w:bCs w:val="1"/>
          <w:color w:val="auto"/>
        </w:rPr>
        <w:t>Nationwide Life Insurance Company</w:t>
      </w:r>
      <w:r>
        <w:rPr>
          <w:rFonts w:ascii="Arial" w:cs="Arial" w:eastAsia="Arial" w:hAnsi="Arial"/>
          <w:sz w:val="19"/>
          <w:szCs w:val="19"/>
          <w:color w:val="auto"/>
        </w:rPr>
        <w:t xml:space="preserve"> and delivered to:</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The Bank of New York Mellon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One Wall Street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3rd Floor - Window 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New York, NY 10286</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F/A/O Nationwide Life Insurance Co. Acct #267829</w:t>
      </w:r>
    </w:p>
    <w:p>
      <w:pPr>
        <w:sectPr>
          <w:pgSz w:w="11900" w:h="16838" w:orient="portrait"/>
          <w:cols w:equalWidth="0" w:num="1">
            <w:col w:w="10219"/>
          </w:cols>
          <w:pgMar w:left="240" w:top="928" w:right="1440" w:bottom="1440" w:gutter="0" w:footer="0" w:header="0"/>
        </w:sectPr>
      </w:pPr>
    </w:p>
    <w:bookmarkStart w:id="197" w:name="page198"/>
    <w:bookmarkEnd w:id="197"/>
    <w:p>
      <w:pPr>
        <w:ind w:left="40"/>
        <w:spacing w:after="0"/>
        <w:rPr>
          <w:sz w:val="20"/>
          <w:szCs w:val="20"/>
          <w:color w:val="auto"/>
        </w:rPr>
      </w:pPr>
      <w:r>
        <w:rPr>
          <w:rFonts w:ascii="Arial" w:cs="Arial" w:eastAsia="Arial" w:hAnsi="Arial"/>
          <w:sz w:val="19"/>
          <w:szCs w:val="19"/>
          <w:color w:val="auto"/>
        </w:rPr>
        <w:t>Name and Address of Purchaser</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21"/>
          <w:szCs w:val="21"/>
          <w:color w:val="auto"/>
        </w:rPr>
        <w:t>Principal Amount of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Notes to be Purchased</w:t>
      </w:r>
    </w:p>
    <w:p>
      <w:pPr>
        <w:spacing w:after="0" w:line="200" w:lineRule="exact"/>
        <w:rPr>
          <w:sz w:val="20"/>
          <w:szCs w:val="20"/>
          <w:color w:val="auto"/>
        </w:rPr>
      </w:pPr>
    </w:p>
    <w:p>
      <w:pPr>
        <w:sectPr>
          <w:pgSz w:w="11900" w:h="16838" w:orient="portrait"/>
          <w:cols w:equalWidth="0" w:num="2">
            <w:col w:w="7400" w:space="720"/>
            <w:col w:w="3300"/>
          </w:cols>
          <w:pgMar w:left="240" w:top="1293" w:right="239" w:bottom="1440" w:gutter="0" w:footer="0" w:header="0"/>
        </w:sectPr>
      </w:pPr>
    </w:p>
    <w:p>
      <w:pPr>
        <w:spacing w:after="0" w:line="10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THE OHIO NATIONAL LIFE INSURANCE COMPANY</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Series A</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U.$. 5,000,000</w:t>
      </w:r>
    </w:p>
    <w:p>
      <w:pPr>
        <w:spacing w:after="0" w:line="59" w:lineRule="exact"/>
        <w:rPr>
          <w:sz w:val="20"/>
          <w:szCs w:val="20"/>
          <w:color w:val="auto"/>
        </w:rPr>
      </w:pPr>
    </w:p>
    <w:p>
      <w:pPr>
        <w:sectPr>
          <w:pgSz w:w="11900" w:h="16838" w:orient="portrait"/>
          <w:cols w:equalWidth="0" w:num="3">
            <w:col w:w="6680" w:space="720"/>
            <w:col w:w="1340" w:space="720"/>
            <w:col w:w="1960"/>
          </w:cols>
          <w:pgMar w:left="240" w:top="1293" w:right="239" w:bottom="1440" w:gutter="0" w:footer="0" w:header="0"/>
          <w:type w:val="continuous"/>
        </w:sectPr>
      </w:pPr>
    </w:p>
    <w:p>
      <w:pPr>
        <w:ind w:left="40"/>
        <w:spacing w:after="0"/>
        <w:rPr>
          <w:sz w:val="20"/>
          <w:szCs w:val="20"/>
          <w:color w:val="auto"/>
        </w:rPr>
      </w:pPr>
      <w:r>
        <w:rPr>
          <w:rFonts w:ascii="Arial" w:cs="Arial" w:eastAsia="Arial" w:hAnsi="Arial"/>
          <w:sz w:val="22"/>
          <w:szCs w:val="22"/>
          <w:color w:val="auto"/>
        </w:rPr>
        <w:t>One Financial Way</w:t>
      </w:r>
    </w:p>
    <w:p>
      <w:pPr>
        <w:ind w:left="40"/>
        <w:spacing w:after="0" w:line="230" w:lineRule="auto"/>
        <w:rPr>
          <w:sz w:val="20"/>
          <w:szCs w:val="20"/>
          <w:color w:val="auto"/>
        </w:rPr>
      </w:pPr>
      <w:r>
        <w:rPr>
          <w:rFonts w:ascii="Arial" w:cs="Arial" w:eastAsia="Arial" w:hAnsi="Arial"/>
          <w:sz w:val="22"/>
          <w:szCs w:val="22"/>
          <w:color w:val="auto"/>
        </w:rPr>
        <w:t>Cincinnati, OH 45242</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Attention: Investment Department</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Address for payments on account of the Notes: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bank wire transfer of Federal 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immediately available funds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(identifying each payment as to issuer,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security (including interest rate and maturity date), and principal or interest)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Bank N.A. (ABA #042-000013)</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5th &amp; Walnut Streets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Cincinnati, OH 45202</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credit to The Ohio National Life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Insurance Company's Account No. 910-275-7</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Notices</w:t>
      </w:r>
    </w:p>
    <w:p>
      <w:pPr>
        <w:spacing w:after="0" w:line="287"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All notices and communications, including notices with respect to payments and written confirmation of each such payment, to be addressed: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OHIO NATIONAL LIFE INSURANCE COMPANY</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One Financial 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Cincinnati, OH 45242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Investment Department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 privateplacements@ohionational.com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Tax identification No.: 31-0397080</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Fax number: 513-794-4506</w:t>
      </w:r>
    </w:p>
    <w:p>
      <w:pPr>
        <w:sectPr>
          <w:pgSz w:w="11900" w:h="16838" w:orient="portrait"/>
          <w:cols w:equalWidth="0" w:num="1">
            <w:col w:w="11420"/>
          </w:cols>
          <w:pgMar w:left="240" w:top="1293" w:right="239" w:bottom="1440" w:gutter="0" w:footer="0" w:header="0"/>
          <w:type w:val="continuous"/>
        </w:sectPr>
      </w:pPr>
    </w:p>
    <w:bookmarkStart w:id="198" w:name="page199"/>
    <w:bookmarkEnd w:id="198"/>
    <w:p>
      <w:pPr>
        <w:spacing w:after="0"/>
        <w:rPr>
          <w:sz w:val="20"/>
          <w:szCs w:val="20"/>
          <w:color w:val="auto"/>
        </w:rPr>
      </w:pPr>
      <w:r>
        <w:rPr>
          <w:rFonts w:ascii="Arial" w:cs="Arial" w:eastAsia="Arial" w:hAnsi="Arial"/>
          <w:sz w:val="22"/>
          <w:szCs w:val="22"/>
          <w:i w:val="1"/>
          <w:iCs w:val="1"/>
          <w:color w:val="auto"/>
        </w:rPr>
        <w:t>Original notes to be delivered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1"/>
          <w:szCs w:val="21"/>
          <w:b w:val="1"/>
          <w:bCs w:val="1"/>
          <w:i w:val="1"/>
          <w:iCs w:val="1"/>
          <w:color w:val="auto"/>
        </w:rPr>
        <w:t>THE OHIO NATIONAL LIFE INSURANCE COMPANY</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One Financial 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Cincinnati, OH 45242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Attention: Investment Department</w:t>
      </w:r>
    </w:p>
    <w:p>
      <w:pPr>
        <w:sectPr>
          <w:pgSz w:w="11900" w:h="16838" w:orient="portrait"/>
          <w:cols w:equalWidth="0" w:num="1">
            <w:col w:w="10219"/>
          </w:cols>
          <w:pgMar w:left="240" w:top="1185" w:right="1440" w:bottom="1440" w:gutter="0" w:footer="0" w:header="0"/>
        </w:sectPr>
      </w:pPr>
    </w:p>
    <w:bookmarkStart w:id="199" w:name="page200"/>
    <w:bookmarkEnd w:id="199"/>
    <w:p>
      <w:pPr>
        <w:ind w:left="40"/>
        <w:spacing w:after="0"/>
        <w:rPr>
          <w:sz w:val="20"/>
          <w:szCs w:val="20"/>
          <w:color w:val="auto"/>
        </w:rPr>
      </w:pPr>
      <w:r>
        <w:rPr>
          <w:rFonts w:ascii="Arial" w:cs="Arial" w:eastAsia="Arial" w:hAnsi="Arial"/>
          <w:sz w:val="22"/>
          <w:szCs w:val="22"/>
          <w:color w:val="auto"/>
        </w:rPr>
        <w:t>Name and Address of Purchaser</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OHIO NATIONAL LIFE ASSURANCE CORPORATION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One Financial Way</w:t>
      </w:r>
    </w:p>
    <w:p>
      <w:pPr>
        <w:ind w:left="40"/>
        <w:spacing w:after="0" w:line="230" w:lineRule="auto"/>
        <w:rPr>
          <w:sz w:val="20"/>
          <w:szCs w:val="20"/>
          <w:color w:val="auto"/>
        </w:rPr>
      </w:pPr>
      <w:r>
        <w:rPr>
          <w:rFonts w:ascii="Arial" w:cs="Arial" w:eastAsia="Arial" w:hAnsi="Arial"/>
          <w:sz w:val="22"/>
          <w:szCs w:val="22"/>
          <w:color w:val="auto"/>
        </w:rPr>
        <w:t>Cincinnati, OH 45242</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Attention: Investment Department</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Address for payments on account of the Notes: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bank wire transfer of Federal 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immediately available funds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(identifying each payment as to issuer,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security, and principal or interest)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Bank N.A. (ABA #042-000013)</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5th &amp; Walnut Streets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Cincinnati, OH 45202</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credit to Ohio National Life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Assurance Corporation's Account No. 865-215-8</w:t>
      </w:r>
    </w:p>
    <w:p>
      <w:pPr>
        <w:spacing w:after="0" w:line="20" w:lineRule="exact"/>
        <w:rPr>
          <w:sz w:val="20"/>
          <w:szCs w:val="20"/>
          <w:color w:val="auto"/>
        </w:rPr>
      </w:pPr>
      <w:r>
        <w:rPr>
          <w:sz w:val="20"/>
          <w:szCs w:val="20"/>
          <w:color w:val="auto"/>
        </w:rPr>
        <w:br w:type="column"/>
      </w:r>
    </w:p>
    <w:p>
      <w:pPr>
        <w:ind w:left="760"/>
        <w:spacing w:after="0"/>
        <w:rPr>
          <w:sz w:val="20"/>
          <w:szCs w:val="20"/>
          <w:color w:val="auto"/>
        </w:rPr>
      </w:pPr>
      <w:r>
        <w:rPr>
          <w:rFonts w:ascii="Arial" w:cs="Arial" w:eastAsia="Arial" w:hAnsi="Arial"/>
          <w:sz w:val="22"/>
          <w:szCs w:val="22"/>
          <w:color w:val="auto"/>
        </w:rPr>
        <w:t>Principal Amount of</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Notes to be Purchased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00" w:type="dxa"/>
            <w:vAlign w:val="bottom"/>
          </w:tcPr>
          <w:p>
            <w:pPr>
              <w:spacing w:after="0"/>
              <w:rPr>
                <w:sz w:val="20"/>
                <w:szCs w:val="20"/>
                <w:color w:val="auto"/>
              </w:rPr>
            </w:pPr>
            <w:r>
              <w:rPr>
                <w:rFonts w:ascii="Arial" w:cs="Arial" w:eastAsia="Arial" w:hAnsi="Arial"/>
                <w:sz w:val="22"/>
                <w:szCs w:val="22"/>
                <w:color w:val="auto"/>
              </w:rPr>
              <w:t>Series A</w:t>
            </w:r>
          </w:p>
        </w:tc>
        <w:tc>
          <w:tcPr>
            <w:tcW w:w="1960" w:type="dxa"/>
            <w:vAlign w:val="bottom"/>
          </w:tcPr>
          <w:p>
            <w:pPr>
              <w:ind w:left="660"/>
              <w:spacing w:after="0"/>
              <w:rPr>
                <w:sz w:val="20"/>
                <w:szCs w:val="20"/>
                <w:color w:val="auto"/>
              </w:rPr>
            </w:pPr>
            <w:r>
              <w:rPr>
                <w:rFonts w:ascii="Arial" w:cs="Arial" w:eastAsia="Arial" w:hAnsi="Arial"/>
                <w:sz w:val="22"/>
                <w:szCs w:val="22"/>
                <w:color w:val="auto"/>
                <w:w w:val="88"/>
              </w:rPr>
              <w:t>U.$. 3,000,000</w:t>
            </w:r>
          </w:p>
        </w:tc>
      </w:tr>
    </w:tbl>
    <w:p>
      <w:pPr>
        <w:spacing w:after="0" w:line="5418" w:lineRule="exact"/>
        <w:rPr>
          <w:sz w:val="20"/>
          <w:szCs w:val="20"/>
          <w:color w:val="auto"/>
        </w:rPr>
      </w:pPr>
    </w:p>
    <w:p>
      <w:pPr>
        <w:sectPr>
          <w:pgSz w:w="11900" w:h="16838" w:orient="portrait"/>
          <w:cols w:equalWidth="0" w:num="2">
            <w:col w:w="6680" w:space="720"/>
            <w:col w:w="4020"/>
          </w:cols>
          <w:pgMar w:left="240" w:top="1293" w:right="239" w:bottom="1440" w:gutter="0" w:footer="0" w:header="0"/>
        </w:sectPr>
      </w:pPr>
    </w:p>
    <w:p>
      <w:pPr>
        <w:spacing w:after="0" w:line="87"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All notices and communications, including notices with respect to payments and written confirmation of each such payment, to be addressed: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OHIO NATIONAL LIFE ASSURANCE CORPORATION</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One Financial 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Cincinnati, OH 45242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Investment Department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privateplacements@ohionational.com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Tax identification No.: 31-0962495</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Fax number: 513-794-4506</w:t>
      </w:r>
    </w:p>
    <w:p>
      <w:pPr>
        <w:sectPr>
          <w:pgSz w:w="11900" w:h="16838" w:orient="portrait"/>
          <w:cols w:equalWidth="0" w:num="1">
            <w:col w:w="11420"/>
          </w:cols>
          <w:pgMar w:left="240" w:top="1293" w:right="239"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22"/>
          <w:szCs w:val="22"/>
          <w:i w:val="1"/>
          <w:iCs w:val="1"/>
          <w:color w:val="auto"/>
        </w:rPr>
        <w:t>Original notes to be delivered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OHIO NATIONAL LIFE ASSURANCE CORPORATION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One Financial Way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Cincinnati, OH 45242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Attention: Investment Department</w:t>
      </w:r>
    </w:p>
    <w:p>
      <w:pPr>
        <w:sectPr>
          <w:pgSz w:w="11900" w:h="16838" w:orient="portrait"/>
          <w:cols w:equalWidth="0" w:num="1">
            <w:col w:w="10219"/>
          </w:cols>
          <w:pgMar w:left="240" w:top="929" w:right="1440" w:bottom="1440" w:gutter="0" w:footer="0" w:header="0"/>
        </w:sectPr>
      </w:pPr>
    </w:p>
    <w:bookmarkStart w:id="201" w:name="page202"/>
    <w:bookmarkEnd w:id="201"/>
    <w:p>
      <w:pPr>
        <w:ind w:left="40"/>
        <w:spacing w:after="0"/>
        <w:rPr>
          <w:sz w:val="20"/>
          <w:szCs w:val="20"/>
          <w:color w:val="auto"/>
        </w:rPr>
      </w:pPr>
      <w:r>
        <w:rPr>
          <w:rFonts w:ascii="Arial" w:cs="Arial" w:eastAsia="Arial" w:hAnsi="Arial"/>
          <w:sz w:val="22"/>
          <w:szCs w:val="22"/>
          <w:color w:val="auto"/>
        </w:rPr>
        <w:t>Name and Address of Purchaser</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GROUP HEALTH OPTIONS, INC.</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320 Westlake Ave. N., Suite 100</w:t>
      </w:r>
    </w:p>
    <w:p>
      <w:pPr>
        <w:ind w:left="40"/>
        <w:spacing w:after="0" w:line="230" w:lineRule="auto"/>
        <w:rPr>
          <w:sz w:val="20"/>
          <w:szCs w:val="20"/>
          <w:color w:val="auto"/>
        </w:rPr>
      </w:pPr>
      <w:r>
        <w:rPr>
          <w:rFonts w:ascii="Arial" w:cs="Arial" w:eastAsia="Arial" w:hAnsi="Arial"/>
          <w:sz w:val="22"/>
          <w:szCs w:val="22"/>
          <w:color w:val="auto"/>
        </w:rPr>
        <w:t>Seattle, WA 98109-5233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Attention: Bret Myers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Arial" w:cs="Arial" w:eastAsia="Arial" w:hAnsi="Arial"/>
          <w:sz w:val="22"/>
          <w:szCs w:val="22"/>
          <w:color w:val="auto"/>
        </w:rPr>
        <w:t>Principal Amount of</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Notes to be Purchased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40" w:type="dxa"/>
            <w:vAlign w:val="bottom"/>
          </w:tcPr>
          <w:p>
            <w:pPr>
              <w:spacing w:after="0"/>
              <w:rPr>
                <w:sz w:val="20"/>
                <w:szCs w:val="20"/>
                <w:color w:val="auto"/>
              </w:rPr>
            </w:pPr>
            <w:r>
              <w:rPr>
                <w:rFonts w:ascii="Arial" w:cs="Arial" w:eastAsia="Arial" w:hAnsi="Arial"/>
                <w:sz w:val="22"/>
                <w:szCs w:val="22"/>
                <w:color w:val="auto"/>
              </w:rPr>
              <w:t>Series A</w:t>
            </w:r>
          </w:p>
        </w:tc>
        <w:tc>
          <w:tcPr>
            <w:tcW w:w="1760" w:type="dxa"/>
            <w:vAlign w:val="bottom"/>
          </w:tcPr>
          <w:p>
            <w:pPr>
              <w:jc w:val="right"/>
              <w:spacing w:after="0"/>
              <w:rPr>
                <w:sz w:val="20"/>
                <w:szCs w:val="20"/>
                <w:color w:val="auto"/>
              </w:rPr>
            </w:pPr>
            <w:r>
              <w:rPr>
                <w:rFonts w:ascii="Arial" w:cs="Arial" w:eastAsia="Arial" w:hAnsi="Arial"/>
                <w:sz w:val="22"/>
                <w:szCs w:val="22"/>
                <w:color w:val="auto"/>
              </w:rPr>
              <w:t>$1,000,000</w:t>
            </w:r>
          </w:p>
        </w:tc>
      </w:tr>
    </w:tbl>
    <w:p>
      <w:pPr>
        <w:spacing w:after="0" w:line="1474" w:lineRule="exact"/>
        <w:rPr>
          <w:sz w:val="20"/>
          <w:szCs w:val="20"/>
          <w:color w:val="auto"/>
        </w:rPr>
      </w:pPr>
    </w:p>
    <w:p>
      <w:pPr>
        <w:sectPr>
          <w:pgSz w:w="11900" w:h="16838" w:orient="portrait"/>
          <w:cols w:equalWidth="0" w:num="2">
            <w:col w:w="6460" w:space="720"/>
            <w:col w:w="4240"/>
          </w:cols>
          <w:pgMar w:left="240" w:top="1334" w:right="239" w:bottom="1440" w:gutter="0" w:footer="0" w:header="0"/>
        </w:sectPr>
      </w:pPr>
    </w:p>
    <w:p>
      <w:pPr>
        <w:spacing w:after="0" w:line="87"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All payments on or in respect of the Notes to be by bank wire transfer of Federal or other immediately available funds (identifying each payment as “American Assets Trust, L.P., 4.04% Senior Notes, Series A, due 10/31/2021, PPN 02401@ AA7, principal, premium or interest”) 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Mellon Trust of New England, NA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011001234</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DDA# 0000125261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MBS Income CC: 1253</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Account Name: GROUP HEALTH OPTIONS INC., PRIME ADVISORS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Account Number: GHOF0001002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Ref: Description of Security, Pay Date, Cusip, P &amp; I breakdown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Notices</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All notices of payment on or in respect of the Notes and written confirmation of each such payment to be addressed to:</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Rachel M. Durkan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BNY Mellon Asset Servicing</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One Mellon Center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Room 151-1060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Pittsburgh, PA 15258</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Group Health Options, Inc.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320 Westlake Ave. N., Suite 100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Seattle, WA 98109-5233</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Bret Myers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Assistant Treasurer</w:t>
      </w:r>
    </w:p>
    <w:p>
      <w:pPr>
        <w:sectPr>
          <w:pgSz w:w="11900" w:h="16838" w:orient="portrait"/>
          <w:cols w:equalWidth="0" w:num="1">
            <w:col w:w="11420"/>
          </w:cols>
          <w:pgMar w:left="240" w:top="1334" w:right="239" w:bottom="1440" w:gutter="0" w:footer="0" w:header="0"/>
          <w:type w:val="continuous"/>
        </w:sectPr>
      </w:pPr>
    </w:p>
    <w:bookmarkStart w:id="202" w:name="page203"/>
    <w:bookmarkEnd w:id="202"/>
    <w:p>
      <w:pPr>
        <w:ind w:left="660"/>
        <w:spacing w:after="0"/>
        <w:rPr>
          <w:sz w:val="20"/>
          <w:szCs w:val="20"/>
          <w:color w:val="auto"/>
        </w:rPr>
      </w:pPr>
      <w:r>
        <w:rPr>
          <w:rFonts w:ascii="Arial" w:cs="Arial" w:eastAsia="Arial" w:hAnsi="Arial"/>
          <w:sz w:val="22"/>
          <w:szCs w:val="22"/>
          <w:color w:val="auto"/>
        </w:rPr>
        <w:t>and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Prime Advisors, Inc.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100 Northfield Drive, 4th Floor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Windsor, CT 06095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Lewis Leon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SVP/Investment Accounting</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All notices and communications other than those in respect to payments to be addressed to:</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Prime Advisors, Inc.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Redmond Ridge Corporate Center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22635 NE Marketplace Drive, Suite 160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Redmond, WA 98053</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Scott Sell</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Vice President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scott.sell@primeadvisors.com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Name of Nominee in which Notes are to be issued: MAC &amp; CO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Taxpayer I.D. Number: 91-1467158</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Notes should be delivered as follows: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BNY Mellon Securities Trust Co.</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One Wall Street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3rd Floor - Receive Window 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New York, NY 10286</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Reference: Group Health Options Inc., GHOF0001002</w:t>
      </w:r>
    </w:p>
    <w:p>
      <w:pPr>
        <w:sectPr>
          <w:pgSz w:w="11900" w:h="16838" w:orient="portrait"/>
          <w:cols w:equalWidth="0" w:num="1">
            <w:col w:w="10219"/>
          </w:cols>
          <w:pgMar w:left="240" w:top="929" w:right="1440" w:bottom="1440" w:gutter="0" w:footer="0" w:header="0"/>
        </w:sectPr>
      </w:pPr>
    </w:p>
    <w:bookmarkStart w:id="203" w:name="page204"/>
    <w:bookmarkEnd w:id="203"/>
    <w:p>
      <w:pPr>
        <w:spacing w:after="0" w:line="1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 and Address of Purchaser</w:t>
      </w:r>
    </w:p>
    <w:p>
      <w:pPr>
        <w:spacing w:after="0" w:line="200" w:lineRule="exact"/>
        <w:rPr>
          <w:sz w:val="20"/>
          <w:szCs w:val="20"/>
          <w:color w:val="auto"/>
        </w:rPr>
      </w:pPr>
    </w:p>
    <w:p>
      <w:pPr>
        <w:spacing w:after="0" w:line="324" w:lineRule="exact"/>
        <w:rPr>
          <w:sz w:val="20"/>
          <w:szCs w:val="20"/>
          <w:color w:val="auto"/>
        </w:rPr>
      </w:pPr>
    </w:p>
    <w:p>
      <w:pPr>
        <w:ind w:left="40" w:right="1360"/>
        <w:spacing w:after="0" w:line="242" w:lineRule="auto"/>
        <w:rPr>
          <w:sz w:val="20"/>
          <w:szCs w:val="20"/>
          <w:color w:val="auto"/>
        </w:rPr>
      </w:pPr>
      <w:r>
        <w:rPr>
          <w:rFonts w:ascii="Arial" w:cs="Arial" w:eastAsia="Arial" w:hAnsi="Arial"/>
          <w:sz w:val="22"/>
          <w:szCs w:val="22"/>
          <w:b w:val="1"/>
          <w:bCs w:val="1"/>
          <w:color w:val="auto"/>
        </w:rPr>
        <w:t xml:space="preserve">PHYSICIANS INSURANCE A MUTUAL COMPANY </w:t>
      </w:r>
      <w:r>
        <w:rPr>
          <w:rFonts w:ascii="Arial" w:cs="Arial" w:eastAsia="Arial" w:hAnsi="Arial"/>
          <w:sz w:val="22"/>
          <w:szCs w:val="22"/>
          <w:color w:val="auto"/>
        </w:rPr>
        <w:t>P.O. Box 91220</w:t>
      </w:r>
    </w:p>
    <w:p>
      <w:pPr>
        <w:ind w:left="40"/>
        <w:spacing w:after="0" w:line="230" w:lineRule="auto"/>
        <w:rPr>
          <w:sz w:val="20"/>
          <w:szCs w:val="20"/>
          <w:color w:val="auto"/>
        </w:rPr>
      </w:pPr>
      <w:r>
        <w:rPr>
          <w:rFonts w:ascii="Arial" w:cs="Arial" w:eastAsia="Arial" w:hAnsi="Arial"/>
          <w:sz w:val="22"/>
          <w:szCs w:val="22"/>
          <w:color w:val="auto"/>
        </w:rPr>
        <w:t>Seattle, Washington 98111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Attention: Rod Pierson</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Principal Amount of</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Notes to be Purchased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40" w:type="dxa"/>
            <w:vAlign w:val="bottom"/>
          </w:tcPr>
          <w:p>
            <w:pPr>
              <w:spacing w:after="0"/>
              <w:rPr>
                <w:sz w:val="20"/>
                <w:szCs w:val="20"/>
                <w:color w:val="auto"/>
              </w:rPr>
            </w:pPr>
            <w:r>
              <w:rPr>
                <w:rFonts w:ascii="Arial" w:cs="Arial" w:eastAsia="Arial" w:hAnsi="Arial"/>
                <w:sz w:val="22"/>
                <w:szCs w:val="22"/>
                <w:color w:val="auto"/>
              </w:rPr>
              <w:t>Series A</w:t>
            </w:r>
          </w:p>
        </w:tc>
        <w:tc>
          <w:tcPr>
            <w:tcW w:w="1760" w:type="dxa"/>
            <w:vAlign w:val="bottom"/>
          </w:tcPr>
          <w:p>
            <w:pPr>
              <w:jc w:val="right"/>
              <w:spacing w:after="0"/>
              <w:rPr>
                <w:sz w:val="20"/>
                <w:szCs w:val="20"/>
                <w:color w:val="auto"/>
              </w:rPr>
            </w:pPr>
            <w:r>
              <w:rPr>
                <w:rFonts w:ascii="Arial" w:cs="Arial" w:eastAsia="Arial" w:hAnsi="Arial"/>
                <w:sz w:val="22"/>
                <w:szCs w:val="22"/>
                <w:color w:val="auto"/>
              </w:rPr>
              <w:t>$1,000,000</w:t>
            </w:r>
          </w:p>
        </w:tc>
      </w:tr>
    </w:tbl>
    <w:p>
      <w:pPr>
        <w:spacing w:after="0" w:line="1474" w:lineRule="exact"/>
        <w:rPr>
          <w:sz w:val="20"/>
          <w:szCs w:val="20"/>
          <w:color w:val="auto"/>
        </w:rPr>
      </w:pPr>
    </w:p>
    <w:p>
      <w:pPr>
        <w:sectPr>
          <w:pgSz w:w="11900" w:h="16838" w:orient="portrait"/>
          <w:cols w:equalWidth="0" w:num="2">
            <w:col w:w="6460" w:space="720"/>
            <w:col w:w="4240"/>
          </w:cols>
          <w:pgMar w:left="240" w:top="1440" w:right="239" w:bottom="1440" w:gutter="0" w:footer="0" w:header="0"/>
        </w:sectPr>
      </w:pPr>
    </w:p>
    <w:p>
      <w:pPr>
        <w:spacing w:after="0" w:line="87"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All payments on or in respect of the Notes to be by bank wire transfer of Federal or other immediately available funds (identifying each payment “American Assets Trust, L.P., 4.04% Senior Notes, Series A, due 10/31/2021, PPN 02401@ AA7, principal, premium or interest”) 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Northern Trust Company of New York</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#071000152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Acct# 5186041000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ffc(obi): 26-01472/Physicians Insurance Co, A Mutual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Bank SWIFT: CNORUS44</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icphys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additional pertinent information (cusip #, note name, P&amp;I amts, etc.)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Attn: </w:t>
      </w:r>
      <w:r>
        <w:rPr>
          <w:rFonts w:ascii="Arial" w:cs="Arial" w:eastAsia="Arial" w:hAnsi="Arial"/>
          <w:sz w:val="22"/>
          <w:szCs w:val="22"/>
          <w:u w:val="single" w:color="auto"/>
          <w:color w:val="0000FF"/>
        </w:rPr>
        <w:t>icphys@ntrs.com</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Address of Bank:</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801 South Canal Street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Chicago, IL 60607 USA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Notices</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All notices of payment on or in respect of the Notes and written confirmation of each such payment to be addressed to:</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Northern Trust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 (312) 557-6570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Dan Frenzel</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NTIMLGDiamond@ntrs.com; daf5@ntrs.com</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ffc(obi): 26-01472/Physicians Insurance Co A Mutual Company</w:t>
      </w:r>
    </w:p>
    <w:p>
      <w:pPr>
        <w:sectPr>
          <w:pgSz w:w="11900" w:h="16838" w:orient="portrait"/>
          <w:cols w:equalWidth="0" w:num="1">
            <w:col w:w="11420"/>
          </w:cols>
          <w:pgMar w:left="240" w:top="1440" w:right="239" w:bottom="1440" w:gutter="0" w:footer="0" w:header="0"/>
          <w:type w:val="continuous"/>
        </w:sectPr>
      </w:pPr>
    </w:p>
    <w:bookmarkStart w:id="204" w:name="page205"/>
    <w:bookmarkEnd w:id="204"/>
    <w:p>
      <w:pPr>
        <w:ind w:left="660"/>
        <w:spacing w:after="0"/>
        <w:rPr>
          <w:sz w:val="20"/>
          <w:szCs w:val="20"/>
          <w:color w:val="auto"/>
        </w:rPr>
      </w:pPr>
      <w:r>
        <w:rPr>
          <w:rFonts w:ascii="Arial" w:cs="Arial" w:eastAsia="Arial" w:hAnsi="Arial"/>
          <w:sz w:val="22"/>
          <w:szCs w:val="22"/>
          <w:color w:val="auto"/>
        </w:rPr>
        <w:t>Physicians Insurance A Mutual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PO Box 91220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Seattle, Washington 98111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Rod Pierson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Senior Vice President, CFO and Treasurer</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Prime Advisors, Inc.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100 Northfield Drive, 4th Floor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Windsor, CT 06095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Lewis Leon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SVP/Investment Accounting</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All notices and communications other than those in respect to payments to be addressed to:</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Prime Advisors, Inc.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Redmond Ridge Corporate Center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22635 NE Marketplace Drive, Suite 160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Redmond, WA 98053</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Scott Sell</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Vice President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scott.sell@primeadvisors.com</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Name of Nominee in which Notes are to be issued: Physicians Insurance A Mutual Company</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Taxpayer I.D. Number: 91-1160717</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Notes should be delivered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The Northern Trust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Trade Securities Processing, C-1N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801 South Canal Street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Acct # 26-01472/Physicians Insurance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Chicago, IL 60607</w:t>
      </w:r>
    </w:p>
    <w:p>
      <w:pPr>
        <w:sectPr>
          <w:pgSz w:w="11900" w:h="16838" w:orient="portrait"/>
          <w:cols w:equalWidth="0" w:num="1">
            <w:col w:w="10219"/>
          </w:cols>
          <w:pgMar w:left="240" w:top="928" w:right="1440" w:bottom="1440" w:gutter="0" w:footer="0" w:header="0"/>
        </w:sectPr>
      </w:pPr>
    </w:p>
    <w:bookmarkStart w:id="205" w:name="page206"/>
    <w:bookmarkEnd w:id="205"/>
    <w:p>
      <w:pPr>
        <w:ind w:left="40"/>
        <w:spacing w:after="0"/>
        <w:rPr>
          <w:sz w:val="20"/>
          <w:szCs w:val="20"/>
          <w:color w:val="auto"/>
        </w:rPr>
      </w:pPr>
      <w:r>
        <w:rPr>
          <w:rFonts w:ascii="Arial" w:cs="Arial" w:eastAsia="Arial" w:hAnsi="Arial"/>
          <w:sz w:val="22"/>
          <w:szCs w:val="22"/>
          <w:color w:val="auto"/>
        </w:rPr>
        <w:t>Name and Address of Purchaser</w:t>
      </w:r>
    </w:p>
    <w:p>
      <w:pPr>
        <w:spacing w:after="0" w:line="200" w:lineRule="exact"/>
        <w:rPr>
          <w:sz w:val="20"/>
          <w:szCs w:val="20"/>
          <w:color w:val="auto"/>
        </w:rPr>
      </w:pPr>
    </w:p>
    <w:p>
      <w:pPr>
        <w:spacing w:after="0" w:line="324" w:lineRule="exact"/>
        <w:rPr>
          <w:sz w:val="20"/>
          <w:szCs w:val="20"/>
          <w:color w:val="auto"/>
        </w:rPr>
      </w:pPr>
    </w:p>
    <w:p>
      <w:pPr>
        <w:ind w:left="40" w:right="980"/>
        <w:spacing w:after="0" w:line="242" w:lineRule="auto"/>
        <w:rPr>
          <w:sz w:val="20"/>
          <w:szCs w:val="20"/>
          <w:color w:val="auto"/>
        </w:rPr>
      </w:pPr>
      <w:r>
        <w:rPr>
          <w:rFonts w:ascii="Arial" w:cs="Arial" w:eastAsia="Arial" w:hAnsi="Arial"/>
          <w:sz w:val="22"/>
          <w:szCs w:val="22"/>
          <w:b w:val="1"/>
          <w:bCs w:val="1"/>
          <w:color w:val="auto"/>
        </w:rPr>
        <w:t>AMERICO FINANCIAL LIFE &amp; ANNUITY INSURANCE COMPANY</w:t>
      </w:r>
    </w:p>
    <w:p>
      <w:pPr>
        <w:ind w:left="40"/>
        <w:spacing w:after="0" w:line="230" w:lineRule="auto"/>
        <w:rPr>
          <w:sz w:val="20"/>
          <w:szCs w:val="20"/>
          <w:color w:val="auto"/>
        </w:rPr>
      </w:pPr>
      <w:r>
        <w:rPr>
          <w:rFonts w:ascii="Arial" w:cs="Arial" w:eastAsia="Arial" w:hAnsi="Arial"/>
          <w:sz w:val="22"/>
          <w:szCs w:val="22"/>
          <w:color w:val="auto"/>
        </w:rPr>
        <w:t>c/o Americo Life, Inc.</w:t>
      </w:r>
    </w:p>
    <w:p>
      <w:pPr>
        <w:ind w:left="40"/>
        <w:spacing w:after="0" w:line="231" w:lineRule="auto"/>
        <w:rPr>
          <w:sz w:val="20"/>
          <w:szCs w:val="20"/>
          <w:color w:val="auto"/>
        </w:rPr>
      </w:pPr>
      <w:r>
        <w:rPr>
          <w:rFonts w:ascii="Arial" w:cs="Arial" w:eastAsia="Arial" w:hAnsi="Arial"/>
          <w:sz w:val="22"/>
          <w:szCs w:val="22"/>
          <w:color w:val="auto"/>
        </w:rPr>
        <w:t>300 W. 11th Street</w:t>
      </w:r>
    </w:p>
    <w:p>
      <w:pPr>
        <w:ind w:left="40"/>
        <w:spacing w:after="0"/>
        <w:rPr>
          <w:sz w:val="20"/>
          <w:szCs w:val="20"/>
          <w:color w:val="auto"/>
        </w:rPr>
      </w:pPr>
      <w:r>
        <w:rPr>
          <w:rFonts w:ascii="Arial" w:cs="Arial" w:eastAsia="Arial" w:hAnsi="Arial"/>
          <w:sz w:val="22"/>
          <w:szCs w:val="22"/>
          <w:color w:val="auto"/>
        </w:rPr>
        <w:t>Kansas City, MO 64105</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wire instructions: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State Street Bank &amp; Trust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#011000028</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 #14254312</w:t>
      </w:r>
    </w:p>
    <w:p>
      <w:pPr>
        <w:spacing w:after="0" w:line="44"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 xml:space="preserve">Americo Financial Life &amp; Annuity </w:t>
      </w:r>
      <w:r>
        <w:rPr>
          <w:rFonts w:ascii="MS PGothic" w:cs="MS PGothic" w:eastAsia="MS PGothic" w:hAnsi="MS PGothic"/>
          <w:sz w:val="22"/>
          <w:szCs w:val="22"/>
          <w:color w:val="auto"/>
        </w:rPr>
        <w:t>‑</w:t>
      </w:r>
      <w:r>
        <w:rPr>
          <w:rFonts w:ascii="Arial" w:cs="Arial" w:eastAsia="Arial" w:hAnsi="Arial"/>
          <w:sz w:val="22"/>
          <w:szCs w:val="22"/>
          <w:color w:val="auto"/>
        </w:rPr>
        <w:t xml:space="preserve"> U6F1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Notices</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Send all notices of payments and written confirmations of payments to:</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MS. Denise Kisner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Americo Life, Inc.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Investment Accounting</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P.O. Box 410288</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Kansas City, MO 64141-0288</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Telephone (816) 391-2118</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Or </w:t>
      </w:r>
      <w:r>
        <w:rPr>
          <w:rFonts w:ascii="Arial" w:cs="Arial" w:eastAsia="Arial" w:hAnsi="Arial"/>
          <w:sz w:val="22"/>
          <w:szCs w:val="22"/>
          <w:color w:val="auto"/>
        </w:rPr>
        <w:t>denise.kisner@americo.com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 other communications to:</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Greg Hamilton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Americo Life, Inc.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300 W. 11th Street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Kansas City, MO 64105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Telephone: (816) 391-2779</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Arial" w:cs="Arial" w:eastAsia="Arial" w:hAnsi="Arial"/>
          <w:sz w:val="22"/>
          <w:szCs w:val="22"/>
          <w:color w:val="auto"/>
        </w:rPr>
        <w:t>Principal Amount of</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Notes to be Purchased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40" w:type="dxa"/>
            <w:vAlign w:val="bottom"/>
          </w:tcPr>
          <w:p>
            <w:pPr>
              <w:spacing w:after="0"/>
              <w:rPr>
                <w:sz w:val="20"/>
                <w:szCs w:val="20"/>
                <w:color w:val="auto"/>
              </w:rPr>
            </w:pPr>
            <w:r>
              <w:rPr>
                <w:rFonts w:ascii="Arial" w:cs="Arial" w:eastAsia="Arial" w:hAnsi="Arial"/>
                <w:sz w:val="22"/>
                <w:szCs w:val="22"/>
                <w:color w:val="auto"/>
              </w:rPr>
              <w:t>Series A</w:t>
            </w:r>
          </w:p>
        </w:tc>
        <w:tc>
          <w:tcPr>
            <w:tcW w:w="1760" w:type="dxa"/>
            <w:vAlign w:val="bottom"/>
          </w:tcPr>
          <w:p>
            <w:pPr>
              <w:jc w:val="right"/>
              <w:spacing w:after="0"/>
              <w:rPr>
                <w:sz w:val="20"/>
                <w:szCs w:val="20"/>
                <w:color w:val="auto"/>
              </w:rPr>
            </w:pPr>
            <w:r>
              <w:rPr>
                <w:rFonts w:ascii="Arial" w:cs="Arial" w:eastAsia="Arial" w:hAnsi="Arial"/>
                <w:sz w:val="22"/>
                <w:szCs w:val="22"/>
                <w:color w:val="auto"/>
              </w:rPr>
              <w:t>$9,000,000</w:t>
            </w:r>
          </w:p>
        </w:tc>
      </w:tr>
    </w:tbl>
    <w:p>
      <w:pPr>
        <w:sectPr>
          <w:pgSz w:w="11900" w:h="16838" w:orient="portrait"/>
          <w:cols w:equalWidth="0" w:num="2">
            <w:col w:w="6560" w:space="620"/>
            <w:col w:w="3300"/>
          </w:cols>
          <w:pgMar w:left="240" w:top="1293" w:right="1179" w:bottom="1440" w:gutter="0" w:footer="0" w:header="0"/>
        </w:sectPr>
      </w:pPr>
    </w:p>
    <w:bookmarkStart w:id="206" w:name="page207"/>
    <w:bookmarkEnd w:id="206"/>
    <w:p>
      <w:pPr>
        <w:ind w:left="660"/>
        <w:spacing w:after="0"/>
        <w:rPr>
          <w:sz w:val="20"/>
          <w:szCs w:val="20"/>
          <w:color w:val="auto"/>
        </w:rPr>
      </w:pPr>
      <w:r>
        <w:rPr>
          <w:rFonts w:ascii="Arial" w:cs="Arial" w:eastAsia="Arial" w:hAnsi="Arial"/>
          <w:sz w:val="22"/>
          <w:szCs w:val="22"/>
          <w:color w:val="auto"/>
        </w:rPr>
        <w:t>Fax: (816) 391-2037</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Taxpayer Identification Number: 35-0810610</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Original Note delivered to:</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Troy Peterson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Americo Financial Life &amp; Annuity Insurance Company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c/o Americo Life, Inc.</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300 W. 11th Street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Kansas City, MO 64105</w:t>
      </w:r>
    </w:p>
    <w:p>
      <w:pPr>
        <w:sectPr>
          <w:pgSz w:w="11900" w:h="16838" w:orient="portrait"/>
          <w:cols w:equalWidth="0" w:num="1">
            <w:col w:w="10219"/>
          </w:cols>
          <w:pgMar w:left="240" w:top="685" w:right="1440" w:bottom="1440" w:gutter="0" w:footer="0" w:header="0"/>
        </w:sectPr>
      </w:pPr>
    </w:p>
    <w:bookmarkStart w:id="207" w:name="page208"/>
    <w:bookmarkEnd w:id="207"/>
    <w:p>
      <w:pPr>
        <w:spacing w:after="0" w:line="137"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 and Address of Purchaser</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60"/>
        <w:spacing w:after="0"/>
        <w:rPr>
          <w:sz w:val="20"/>
          <w:szCs w:val="20"/>
          <w:color w:val="auto"/>
        </w:rPr>
      </w:pPr>
      <w:r>
        <w:rPr>
          <w:rFonts w:ascii="Arial" w:cs="Arial" w:eastAsia="Arial" w:hAnsi="Arial"/>
          <w:sz w:val="21"/>
          <w:szCs w:val="21"/>
          <w:color w:val="auto"/>
        </w:rPr>
        <w:t>Principal Amount of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Notes to be Purchased</w:t>
      </w:r>
    </w:p>
    <w:p>
      <w:pPr>
        <w:spacing w:after="0" w:line="200" w:lineRule="exact"/>
        <w:rPr>
          <w:sz w:val="20"/>
          <w:szCs w:val="20"/>
          <w:color w:val="auto"/>
        </w:rPr>
      </w:pPr>
    </w:p>
    <w:p>
      <w:pPr>
        <w:sectPr>
          <w:pgSz w:w="11900" w:h="16838" w:orient="portrait"/>
          <w:cols w:equalWidth="0" w:num="2">
            <w:col w:w="7280" w:space="720"/>
            <w:col w:w="3420"/>
          </w:cols>
          <w:pgMar w:left="240" w:top="1440" w:right="239" w:bottom="1440" w:gutter="0" w:footer="0" w:header="0"/>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USAA LIFE INSURANCE COMPANY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Series 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$7,000,000</w:t>
      </w:r>
    </w:p>
    <w:p>
      <w:pPr>
        <w:spacing w:after="0" w:line="83" w:lineRule="exact"/>
        <w:rPr>
          <w:sz w:val="20"/>
          <w:szCs w:val="20"/>
          <w:color w:val="auto"/>
        </w:rPr>
      </w:pPr>
    </w:p>
    <w:p>
      <w:pPr>
        <w:sectPr>
          <w:pgSz w:w="11900" w:h="16838" w:orient="portrait"/>
          <w:cols w:equalWidth="0" w:num="3">
            <w:col w:w="6460" w:space="720"/>
            <w:col w:w="1600" w:space="720"/>
            <w:col w:w="1920"/>
          </w:cols>
          <w:pgMar w:left="240" w:top="1440"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9800 Fredericksburg Road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Antonio, TX 78288</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87" w:lineRule="exact"/>
        <w:rPr>
          <w:sz w:val="20"/>
          <w:szCs w:val="20"/>
          <w:color w:val="auto"/>
        </w:rPr>
      </w:pPr>
    </w:p>
    <w:p>
      <w:pPr>
        <w:ind w:left="660" w:hanging="652"/>
        <w:spacing w:after="0" w:line="302" w:lineRule="auto"/>
        <w:tabs>
          <w:tab w:leader="none" w:pos="6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All payments on account of Notes held by such purchaser shall be made by wire transfer of immediately available funds for credit to:</w:t>
      </w:r>
    </w:p>
    <w:p>
      <w:pPr>
        <w:spacing w:after="0" w:line="200" w:lineRule="exact"/>
        <w:rPr>
          <w:rFonts w:ascii="Arial" w:cs="Arial" w:eastAsia="Arial" w:hAnsi="Arial"/>
          <w:sz w:val="22"/>
          <w:szCs w:val="22"/>
          <w:color w:val="auto"/>
        </w:rPr>
      </w:pPr>
    </w:p>
    <w:p>
      <w:pPr>
        <w:ind w:left="660" w:right="8960"/>
        <w:spacing w:after="0" w:line="326" w:lineRule="auto"/>
        <w:rPr>
          <w:rFonts w:ascii="Arial" w:cs="Arial" w:eastAsia="Arial" w:hAnsi="Arial"/>
          <w:sz w:val="22"/>
          <w:szCs w:val="22"/>
          <w:color w:val="auto"/>
        </w:rPr>
      </w:pPr>
      <w:r>
        <w:rPr>
          <w:rFonts w:ascii="Arial" w:cs="Arial" w:eastAsia="Arial" w:hAnsi="Arial"/>
          <w:sz w:val="19"/>
          <w:szCs w:val="19"/>
          <w:color w:val="auto"/>
        </w:rPr>
        <w:t>Northern Chgo/Trust ABA#071000152</w:t>
      </w:r>
    </w:p>
    <w:p>
      <w:pPr>
        <w:ind w:left="660" w:right="7660"/>
        <w:spacing w:after="0" w:line="326" w:lineRule="auto"/>
        <w:rPr>
          <w:rFonts w:ascii="Arial" w:cs="Arial" w:eastAsia="Arial" w:hAnsi="Arial"/>
          <w:sz w:val="22"/>
          <w:szCs w:val="22"/>
          <w:color w:val="auto"/>
        </w:rPr>
      </w:pPr>
      <w:r>
        <w:rPr>
          <w:rFonts w:ascii="Arial" w:cs="Arial" w:eastAsia="Arial" w:hAnsi="Arial"/>
          <w:sz w:val="19"/>
          <w:szCs w:val="19"/>
          <w:color w:val="auto"/>
        </w:rPr>
        <w:t>Credit Wire Account # 5186061000 26-11042/ Life Company</w:t>
      </w:r>
    </w:p>
    <w:p>
      <w:pPr>
        <w:ind w:left="660"/>
        <w:spacing w:after="0"/>
        <w:rPr>
          <w:rFonts w:ascii="Arial" w:cs="Arial" w:eastAsia="Arial" w:hAnsi="Arial"/>
          <w:sz w:val="22"/>
          <w:szCs w:val="22"/>
          <w:color w:val="auto"/>
        </w:rPr>
      </w:pPr>
      <w:r>
        <w:rPr>
          <w:rFonts w:ascii="Arial" w:cs="Arial" w:eastAsia="Arial" w:hAnsi="Arial"/>
          <w:sz w:val="22"/>
          <w:szCs w:val="22"/>
          <w:color w:val="auto"/>
        </w:rPr>
        <w:t>PPN # 02401@ AA7</w:t>
      </w:r>
    </w:p>
    <w:p>
      <w:pPr>
        <w:spacing w:after="0" w:line="287" w:lineRule="exact"/>
        <w:rPr>
          <w:rFonts w:ascii="Arial" w:cs="Arial" w:eastAsia="Arial" w:hAnsi="Arial"/>
          <w:sz w:val="22"/>
          <w:szCs w:val="22"/>
          <w:color w:val="auto"/>
        </w:rPr>
      </w:pPr>
    </w:p>
    <w:p>
      <w:pPr>
        <w:ind w:left="660"/>
        <w:spacing w:after="0" w:line="328" w:lineRule="auto"/>
        <w:rPr>
          <w:rFonts w:ascii="Arial" w:cs="Arial" w:eastAsia="Arial" w:hAnsi="Arial"/>
          <w:sz w:val="22"/>
          <w:szCs w:val="22"/>
          <w:color w:val="auto"/>
        </w:rPr>
      </w:pPr>
      <w:r>
        <w:rPr>
          <w:rFonts w:ascii="Arial" w:cs="Arial" w:eastAsia="Arial" w:hAnsi="Arial"/>
          <w:sz w:val="21"/>
          <w:szCs w:val="21"/>
          <w:color w:val="auto"/>
        </w:rPr>
        <w:t>With sufficient information to identify the source and application of such funds, including the issuer name, the PPN of the issue, interest rate, payment due date, maturity date, interest amount, principal and premium amount.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Notices</w:t>
      </w:r>
    </w:p>
    <w:p>
      <w:pPr>
        <w:spacing w:after="0" w:line="287"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Address for notices relating to payments:</w:t>
      </w:r>
    </w:p>
    <w:p>
      <w:pPr>
        <w:spacing w:after="0" w:line="28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Ell &amp; Co</w:t>
      </w:r>
    </w:p>
    <w:p>
      <w:pPr>
        <w:spacing w:after="0" w:line="44" w:lineRule="exact"/>
        <w:rPr>
          <w:rFonts w:ascii="Arial" w:cs="Arial" w:eastAsia="Arial" w:hAnsi="Arial"/>
          <w:sz w:val="22"/>
          <w:szCs w:val="22"/>
          <w:color w:val="auto"/>
        </w:rPr>
      </w:pPr>
    </w:p>
    <w:p>
      <w:pPr>
        <w:ind w:left="660" w:right="8260"/>
        <w:spacing w:after="0" w:line="281" w:lineRule="auto"/>
        <w:rPr>
          <w:rFonts w:ascii="Arial" w:cs="Arial" w:eastAsia="Arial" w:hAnsi="Arial"/>
          <w:sz w:val="22"/>
          <w:szCs w:val="22"/>
          <w:color w:val="auto"/>
        </w:rPr>
      </w:pPr>
      <w:r>
        <w:rPr>
          <w:rFonts w:ascii="Arial" w:cs="Arial" w:eastAsia="Arial" w:hAnsi="Arial"/>
          <w:sz w:val="22"/>
          <w:szCs w:val="22"/>
          <w:color w:val="auto"/>
        </w:rPr>
        <w:t>c/o Northern Trust Company PO Box 92395</w:t>
      </w:r>
    </w:p>
    <w:p>
      <w:pPr>
        <w:spacing w:after="0" w:line="1" w:lineRule="exact"/>
        <w:rPr>
          <w:rFonts w:ascii="Arial" w:cs="Arial" w:eastAsia="Arial" w:hAnsi="Arial"/>
          <w:sz w:val="22"/>
          <w:szCs w:val="22"/>
          <w:color w:val="auto"/>
        </w:rPr>
      </w:pPr>
    </w:p>
    <w:p>
      <w:pPr>
        <w:jc w:val="both"/>
        <w:ind w:left="660" w:right="8520"/>
        <w:spacing w:after="0" w:line="326" w:lineRule="auto"/>
        <w:rPr>
          <w:rFonts w:ascii="Arial" w:cs="Arial" w:eastAsia="Arial" w:hAnsi="Arial"/>
          <w:sz w:val="22"/>
          <w:szCs w:val="22"/>
          <w:color w:val="auto"/>
        </w:rPr>
      </w:pPr>
      <w:r>
        <w:rPr>
          <w:rFonts w:ascii="Arial" w:cs="Arial" w:eastAsia="Arial" w:hAnsi="Arial"/>
          <w:sz w:val="19"/>
          <w:szCs w:val="19"/>
          <w:color w:val="auto"/>
        </w:rPr>
        <w:t>Chicago, IL 60675-92395 Attn: Income Collections</w:t>
      </w:r>
    </w:p>
    <w:p>
      <w:pPr>
        <w:ind w:left="660"/>
        <w:spacing w:after="0"/>
        <w:rPr>
          <w:rFonts w:ascii="Arial" w:cs="Arial" w:eastAsia="Arial" w:hAnsi="Arial"/>
          <w:sz w:val="22"/>
          <w:szCs w:val="22"/>
          <w:color w:val="auto"/>
        </w:rPr>
      </w:pPr>
      <w:r>
        <w:rPr>
          <w:rFonts w:ascii="Arial" w:cs="Arial" w:eastAsia="Arial" w:hAnsi="Arial"/>
          <w:sz w:val="22"/>
          <w:szCs w:val="22"/>
          <w:color w:val="auto"/>
        </w:rPr>
        <w:t>Please include the cusip and shares/par for the dividend/interest payment</w:t>
      </w:r>
    </w:p>
    <w:p>
      <w:pPr>
        <w:spacing w:after="0" w:line="287" w:lineRule="exact"/>
        <w:rPr>
          <w:rFonts w:ascii="Arial" w:cs="Arial" w:eastAsia="Arial" w:hAnsi="Arial"/>
          <w:sz w:val="22"/>
          <w:szCs w:val="22"/>
          <w:color w:val="auto"/>
        </w:rPr>
      </w:pPr>
    </w:p>
    <w:p>
      <w:pPr>
        <w:ind w:left="660" w:hanging="652"/>
        <w:spacing w:after="0"/>
        <w:tabs>
          <w:tab w:leader="none" w:pos="6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Address for all other communications:</w:t>
      </w:r>
    </w:p>
    <w:p>
      <w:pPr>
        <w:spacing w:after="0" w:line="28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John Spear</w:t>
      </w:r>
    </w:p>
    <w:p>
      <w:pPr>
        <w:spacing w:after="0" w:line="44" w:lineRule="exact"/>
        <w:rPr>
          <w:rFonts w:ascii="Arial" w:cs="Arial" w:eastAsia="Arial" w:hAnsi="Arial"/>
          <w:sz w:val="22"/>
          <w:szCs w:val="22"/>
          <w:color w:val="auto"/>
        </w:rPr>
      </w:pPr>
    </w:p>
    <w:p>
      <w:pPr>
        <w:ind w:left="660" w:right="8460"/>
        <w:spacing w:after="0" w:line="387" w:lineRule="auto"/>
        <w:rPr>
          <w:rFonts w:ascii="Arial" w:cs="Arial" w:eastAsia="Arial" w:hAnsi="Arial"/>
          <w:sz w:val="22"/>
          <w:szCs w:val="22"/>
          <w:color w:val="auto"/>
        </w:rPr>
      </w:pPr>
      <w:r>
        <w:rPr>
          <w:rFonts w:ascii="Arial" w:cs="Arial" w:eastAsia="Arial" w:hAnsi="Arial"/>
          <w:sz w:val="19"/>
          <w:szCs w:val="19"/>
          <w:color w:val="auto"/>
        </w:rPr>
        <w:t>VP Insurance Portfolios 9800 Fredericksburg Road</w:t>
      </w:r>
    </w:p>
    <w:p>
      <w:pPr>
        <w:sectPr>
          <w:pgSz w:w="11900" w:h="16838" w:orient="portrait"/>
          <w:cols w:equalWidth="0" w:num="1">
            <w:col w:w="11420"/>
          </w:cols>
          <w:pgMar w:left="240" w:top="1440" w:right="239" w:bottom="1440" w:gutter="0" w:footer="0" w:header="0"/>
          <w:type w:val="continuous"/>
        </w:sectPr>
      </w:pPr>
    </w:p>
    <w:bookmarkStart w:id="208" w:name="page209"/>
    <w:bookmarkEnd w:id="208"/>
    <w:p>
      <w:pPr>
        <w:ind w:left="652"/>
        <w:spacing w:after="0"/>
        <w:rPr>
          <w:sz w:val="20"/>
          <w:szCs w:val="20"/>
          <w:color w:val="auto"/>
        </w:rPr>
      </w:pPr>
      <w:r>
        <w:rPr>
          <w:rFonts w:ascii="Arial" w:cs="Arial" w:eastAsia="Arial" w:hAnsi="Arial"/>
          <w:sz w:val="22"/>
          <w:szCs w:val="22"/>
          <w:color w:val="auto"/>
        </w:rPr>
        <w:t>San Antonio, TX 78288</w:t>
      </w:r>
    </w:p>
    <w:p>
      <w:pPr>
        <w:spacing w:after="0" w:line="4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(210) 498-8661</w:t>
      </w:r>
    </w:p>
    <w:p>
      <w:pPr>
        <w:spacing w:after="0" w:line="287" w:lineRule="exact"/>
        <w:rPr>
          <w:sz w:val="20"/>
          <w:szCs w:val="20"/>
          <w:color w:val="auto"/>
        </w:rPr>
      </w:pPr>
    </w:p>
    <w:p>
      <w:pPr>
        <w:ind w:left="652" w:hanging="652"/>
        <w:spacing w:after="0"/>
        <w:tabs>
          <w:tab w:leader="none" w:pos="652" w:val="left"/>
        </w:tabs>
        <w:numPr>
          <w:ilvl w:val="0"/>
          <w:numId w:val="144"/>
        </w:numPr>
        <w:rPr>
          <w:rFonts w:ascii="Arial" w:cs="Arial" w:eastAsia="Arial" w:hAnsi="Arial"/>
          <w:sz w:val="19"/>
          <w:szCs w:val="19"/>
          <w:color w:val="auto"/>
        </w:rPr>
      </w:pPr>
      <w:r>
        <w:rPr>
          <w:rFonts w:ascii="Arial" w:cs="Arial" w:eastAsia="Arial" w:hAnsi="Arial"/>
          <w:sz w:val="19"/>
          <w:szCs w:val="19"/>
          <w:color w:val="auto"/>
        </w:rPr>
        <w:t>Name of Nominee in which Notes are to be issued: ELL &amp; CO.</w:t>
      </w:r>
    </w:p>
    <w:p>
      <w:pPr>
        <w:spacing w:after="0" w:line="321" w:lineRule="exact"/>
        <w:rPr>
          <w:rFonts w:ascii="Arial" w:cs="Arial" w:eastAsia="Arial" w:hAnsi="Arial"/>
          <w:sz w:val="19"/>
          <w:szCs w:val="19"/>
          <w:color w:val="auto"/>
        </w:rPr>
      </w:pPr>
    </w:p>
    <w:p>
      <w:pPr>
        <w:ind w:left="652" w:hanging="652"/>
        <w:spacing w:after="0"/>
        <w:tabs>
          <w:tab w:leader="none" w:pos="65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Tax Identification Number: 74-1472662</w:t>
      </w:r>
    </w:p>
    <w:p>
      <w:pPr>
        <w:spacing w:after="0" w:line="287" w:lineRule="exact"/>
        <w:rPr>
          <w:rFonts w:ascii="Arial" w:cs="Arial" w:eastAsia="Arial" w:hAnsi="Arial"/>
          <w:sz w:val="22"/>
          <w:szCs w:val="22"/>
          <w:color w:val="auto"/>
        </w:rPr>
      </w:pPr>
    </w:p>
    <w:p>
      <w:pPr>
        <w:ind w:left="652" w:hanging="652"/>
        <w:spacing w:after="0"/>
        <w:tabs>
          <w:tab w:leader="none" w:pos="652" w:val="left"/>
        </w:tabs>
        <w:numPr>
          <w:ilvl w:val="0"/>
          <w:numId w:val="144"/>
        </w:numPr>
        <w:rPr>
          <w:rFonts w:ascii="Arial" w:cs="Arial" w:eastAsia="Arial" w:hAnsi="Arial"/>
          <w:sz w:val="22"/>
          <w:szCs w:val="22"/>
          <w:color w:val="auto"/>
        </w:rPr>
      </w:pPr>
      <w:r>
        <w:rPr>
          <w:rFonts w:ascii="Arial" w:cs="Arial" w:eastAsia="Arial" w:hAnsi="Arial"/>
          <w:sz w:val="22"/>
          <w:szCs w:val="22"/>
          <w:i w:val="1"/>
          <w:iCs w:val="1"/>
          <w:color w:val="auto"/>
        </w:rPr>
        <w:t>Physical Delivery of Notes:</w:t>
      </w:r>
    </w:p>
    <w:p>
      <w:pPr>
        <w:spacing w:after="0" w:line="287" w:lineRule="exact"/>
        <w:rPr>
          <w:rFonts w:ascii="Arial" w:cs="Arial" w:eastAsia="Arial" w:hAnsi="Arial"/>
          <w:sz w:val="22"/>
          <w:szCs w:val="22"/>
          <w:color w:val="auto"/>
        </w:rPr>
      </w:pPr>
    </w:p>
    <w:p>
      <w:pPr>
        <w:ind w:left="652" w:right="5919"/>
        <w:spacing w:after="0" w:line="281" w:lineRule="auto"/>
        <w:rPr>
          <w:rFonts w:ascii="Arial" w:cs="Arial" w:eastAsia="Arial" w:hAnsi="Arial"/>
          <w:sz w:val="22"/>
          <w:szCs w:val="22"/>
          <w:color w:val="auto"/>
        </w:rPr>
      </w:pPr>
      <w:r>
        <w:rPr>
          <w:rFonts w:ascii="Arial" w:cs="Arial" w:eastAsia="Arial" w:hAnsi="Arial"/>
          <w:sz w:val="22"/>
          <w:szCs w:val="22"/>
          <w:i w:val="1"/>
          <w:iCs w:val="1"/>
          <w:color w:val="auto"/>
        </w:rPr>
        <w:t>Depositary Trust &amp; Clearing Corporation Newport Office Center</w:t>
      </w:r>
    </w:p>
    <w:p>
      <w:pPr>
        <w:spacing w:after="0" w:line="1" w:lineRule="exact"/>
        <w:rPr>
          <w:rFonts w:ascii="Arial" w:cs="Arial" w:eastAsia="Arial" w:hAnsi="Arial"/>
          <w:sz w:val="22"/>
          <w:szCs w:val="22"/>
          <w:color w:val="auto"/>
        </w:rPr>
      </w:pPr>
    </w:p>
    <w:p>
      <w:pPr>
        <w:ind w:left="652" w:right="7659"/>
        <w:spacing w:after="0" w:line="281" w:lineRule="auto"/>
        <w:rPr>
          <w:rFonts w:ascii="Arial" w:cs="Arial" w:eastAsia="Arial" w:hAnsi="Arial"/>
          <w:sz w:val="22"/>
          <w:szCs w:val="22"/>
          <w:color w:val="auto"/>
        </w:rPr>
      </w:pPr>
      <w:r>
        <w:rPr>
          <w:rFonts w:ascii="Arial" w:cs="Arial" w:eastAsia="Arial" w:hAnsi="Arial"/>
          <w:sz w:val="22"/>
          <w:szCs w:val="22"/>
          <w:i w:val="1"/>
          <w:iCs w:val="1"/>
          <w:color w:val="auto"/>
        </w:rPr>
        <w:t>570 Washington Blvd. 5th Floor</w:t>
      </w:r>
    </w:p>
    <w:p>
      <w:pPr>
        <w:spacing w:after="0" w:line="1"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Jersey City, NJ 07310</w:t>
      </w:r>
    </w:p>
    <w:p>
      <w:pPr>
        <w:spacing w:after="0" w:line="44"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Attn: Tanya Stackhouse-Bowen or Robert Mendez</w:t>
      </w:r>
    </w:p>
    <w:p>
      <w:pPr>
        <w:spacing w:after="0" w:line="44" w:lineRule="exact"/>
        <w:rPr>
          <w:rFonts w:ascii="Arial" w:cs="Arial" w:eastAsia="Arial" w:hAnsi="Arial"/>
          <w:sz w:val="22"/>
          <w:szCs w:val="22"/>
          <w:color w:val="auto"/>
        </w:rPr>
      </w:pPr>
    </w:p>
    <w:p>
      <w:pPr>
        <w:ind w:left="652" w:right="4219"/>
        <w:spacing w:after="0" w:line="302" w:lineRule="auto"/>
        <w:rPr>
          <w:rFonts w:ascii="Arial" w:cs="Arial" w:eastAsia="Arial" w:hAnsi="Arial"/>
          <w:sz w:val="22"/>
          <w:szCs w:val="22"/>
          <w:color w:val="auto"/>
        </w:rPr>
      </w:pPr>
      <w:r>
        <w:rPr>
          <w:rFonts w:ascii="Arial" w:cs="Arial" w:eastAsia="Arial" w:hAnsi="Arial"/>
          <w:sz w:val="22"/>
          <w:szCs w:val="22"/>
          <w:i w:val="1"/>
          <w:iCs w:val="1"/>
          <w:color w:val="auto"/>
        </w:rPr>
        <w:t>Reference: Northern Trust Account # 26-11042/Life Company 212-855-2484</w:t>
      </w:r>
    </w:p>
    <w:p>
      <w:pPr>
        <w:sectPr>
          <w:pgSz w:w="11900" w:h="16838" w:orient="portrait"/>
          <w:cols w:equalWidth="0" w:num="1">
            <w:col w:w="10211"/>
          </w:cols>
          <w:pgMar w:left="248" w:top="685" w:right="1440" w:bottom="1440" w:gutter="0" w:footer="0" w:header="0"/>
        </w:sectPr>
      </w:pPr>
    </w:p>
    <w:bookmarkStart w:id="209" w:name="page210"/>
    <w:bookmarkEnd w:id="209"/>
    <w:p>
      <w:pPr>
        <w:ind w:left="40"/>
        <w:spacing w:after="0"/>
        <w:rPr>
          <w:sz w:val="20"/>
          <w:szCs w:val="20"/>
          <w:color w:val="auto"/>
        </w:rPr>
      </w:pPr>
      <w:r>
        <w:rPr>
          <w:rFonts w:ascii="Arial" w:cs="Arial" w:eastAsia="Arial" w:hAnsi="Arial"/>
          <w:sz w:val="19"/>
          <w:szCs w:val="19"/>
          <w:color w:val="auto"/>
        </w:rPr>
        <w:t>Name and Address of Purchaser</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21"/>
          <w:szCs w:val="21"/>
          <w:color w:val="auto"/>
        </w:rPr>
        <w:t>Principal Amount of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Notes to be Purchased</w:t>
      </w:r>
    </w:p>
    <w:p>
      <w:pPr>
        <w:spacing w:after="0" w:line="200" w:lineRule="exact"/>
        <w:rPr>
          <w:sz w:val="20"/>
          <w:szCs w:val="20"/>
          <w:color w:val="auto"/>
        </w:rPr>
      </w:pPr>
    </w:p>
    <w:p>
      <w:pPr>
        <w:sectPr>
          <w:pgSz w:w="11900" w:h="16838" w:orient="portrait"/>
          <w:cols w:equalWidth="0" w:num="2">
            <w:col w:w="7280" w:space="720"/>
            <w:col w:w="3420"/>
          </w:cols>
          <w:pgMar w:left="240" w:top="1293" w:right="239" w:bottom="1440" w:gutter="0" w:footer="0" w:header="0"/>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UNITED SERVICES AUTOMOBILE ASSOCIATION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Series 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$5,000,000</w:t>
      </w:r>
    </w:p>
    <w:p>
      <w:pPr>
        <w:spacing w:after="0" w:line="83" w:lineRule="exact"/>
        <w:rPr>
          <w:sz w:val="20"/>
          <w:szCs w:val="20"/>
          <w:color w:val="auto"/>
        </w:rPr>
      </w:pPr>
    </w:p>
    <w:p>
      <w:pPr>
        <w:sectPr>
          <w:pgSz w:w="11900" w:h="16838" w:orient="portrait"/>
          <w:cols w:equalWidth="0" w:num="3">
            <w:col w:w="6460" w:space="720"/>
            <w:col w:w="1600" w:space="720"/>
            <w:col w:w="1920"/>
          </w:cols>
          <w:pgMar w:left="240" w:top="1293"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9800 Fredericksburg Road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Antonio, TX 78288</w:t>
      </w:r>
    </w:p>
    <w:p>
      <w:pPr>
        <w:sectPr>
          <w:pgSz w:w="11900" w:h="16838" w:orient="portrait"/>
          <w:cols w:equalWidth="0" w:num="1">
            <w:col w:w="11420"/>
          </w:cols>
          <w:pgMar w:left="240" w:top="1293" w:right="2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87" w:lineRule="exact"/>
        <w:rPr>
          <w:sz w:val="20"/>
          <w:szCs w:val="20"/>
          <w:color w:val="auto"/>
        </w:rPr>
      </w:pPr>
    </w:p>
    <w:p>
      <w:pPr>
        <w:ind w:left="660" w:hanging="652"/>
        <w:spacing w:after="0" w:line="302" w:lineRule="auto"/>
        <w:tabs>
          <w:tab w:leader="none" w:pos="66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All payments on account of Notes held by such purchaser shall be made by wire transfer of immediately available funds for credit to:</w:t>
      </w:r>
    </w:p>
    <w:p>
      <w:pPr>
        <w:spacing w:after="0" w:line="200" w:lineRule="exact"/>
        <w:rPr>
          <w:rFonts w:ascii="Arial" w:cs="Arial" w:eastAsia="Arial" w:hAnsi="Arial"/>
          <w:sz w:val="22"/>
          <w:szCs w:val="22"/>
          <w:color w:val="auto"/>
        </w:rPr>
      </w:pPr>
    </w:p>
    <w:p>
      <w:pPr>
        <w:ind w:left="660" w:right="8960"/>
        <w:spacing w:after="0" w:line="326" w:lineRule="auto"/>
        <w:rPr>
          <w:rFonts w:ascii="Arial" w:cs="Arial" w:eastAsia="Arial" w:hAnsi="Arial"/>
          <w:sz w:val="22"/>
          <w:szCs w:val="22"/>
          <w:color w:val="auto"/>
        </w:rPr>
      </w:pPr>
      <w:r>
        <w:rPr>
          <w:rFonts w:ascii="Arial" w:cs="Arial" w:eastAsia="Arial" w:hAnsi="Arial"/>
          <w:sz w:val="19"/>
          <w:szCs w:val="19"/>
          <w:color w:val="auto"/>
        </w:rPr>
        <w:t>Northern Chgo/Trust ABA#071000152</w:t>
      </w:r>
    </w:p>
    <w:p>
      <w:pPr>
        <w:ind w:left="660" w:right="7660"/>
        <w:spacing w:after="0" w:line="281" w:lineRule="auto"/>
        <w:rPr>
          <w:rFonts w:ascii="Arial" w:cs="Arial" w:eastAsia="Arial" w:hAnsi="Arial"/>
          <w:sz w:val="22"/>
          <w:szCs w:val="22"/>
          <w:color w:val="auto"/>
        </w:rPr>
      </w:pPr>
      <w:r>
        <w:rPr>
          <w:rFonts w:ascii="Arial" w:cs="Arial" w:eastAsia="Arial" w:hAnsi="Arial"/>
          <w:sz w:val="22"/>
          <w:szCs w:val="22"/>
          <w:color w:val="auto"/>
        </w:rPr>
        <w:t>Credit Wire Account # 5186061000 26-11037/ USAA</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PPN # 02401@ AA7</w:t>
      </w:r>
    </w:p>
    <w:p>
      <w:pPr>
        <w:spacing w:after="0" w:line="287" w:lineRule="exact"/>
        <w:rPr>
          <w:rFonts w:ascii="Arial" w:cs="Arial" w:eastAsia="Arial" w:hAnsi="Arial"/>
          <w:sz w:val="22"/>
          <w:szCs w:val="22"/>
          <w:color w:val="auto"/>
        </w:rPr>
      </w:pPr>
    </w:p>
    <w:p>
      <w:pPr>
        <w:ind w:left="660"/>
        <w:spacing w:after="0" w:line="328" w:lineRule="auto"/>
        <w:rPr>
          <w:rFonts w:ascii="Arial" w:cs="Arial" w:eastAsia="Arial" w:hAnsi="Arial"/>
          <w:sz w:val="22"/>
          <w:szCs w:val="22"/>
          <w:color w:val="auto"/>
        </w:rPr>
      </w:pPr>
      <w:r>
        <w:rPr>
          <w:rFonts w:ascii="Arial" w:cs="Arial" w:eastAsia="Arial" w:hAnsi="Arial"/>
          <w:sz w:val="21"/>
          <w:szCs w:val="21"/>
          <w:color w:val="auto"/>
        </w:rPr>
        <w:t>With sufficient information to identify the source and application of such funds, including the issuer name, the PPN of the issue, interest rate, payment due date, maturity date, interest amount, principal and premium amount.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Notices</w:t>
      </w:r>
    </w:p>
    <w:p>
      <w:pPr>
        <w:spacing w:after="0" w:line="287"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Address for notices relating to payments:</w:t>
      </w:r>
    </w:p>
    <w:p>
      <w:pPr>
        <w:spacing w:after="0" w:line="28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Ell &amp; Co</w:t>
      </w:r>
    </w:p>
    <w:p>
      <w:pPr>
        <w:spacing w:after="0" w:line="44" w:lineRule="exact"/>
        <w:rPr>
          <w:rFonts w:ascii="Arial" w:cs="Arial" w:eastAsia="Arial" w:hAnsi="Arial"/>
          <w:sz w:val="22"/>
          <w:szCs w:val="22"/>
          <w:color w:val="auto"/>
        </w:rPr>
      </w:pPr>
    </w:p>
    <w:p>
      <w:pPr>
        <w:ind w:left="660" w:right="8260"/>
        <w:spacing w:after="0" w:line="281" w:lineRule="auto"/>
        <w:rPr>
          <w:rFonts w:ascii="Arial" w:cs="Arial" w:eastAsia="Arial" w:hAnsi="Arial"/>
          <w:sz w:val="22"/>
          <w:szCs w:val="22"/>
          <w:color w:val="auto"/>
        </w:rPr>
      </w:pPr>
      <w:r>
        <w:rPr>
          <w:rFonts w:ascii="Arial" w:cs="Arial" w:eastAsia="Arial" w:hAnsi="Arial"/>
          <w:sz w:val="22"/>
          <w:szCs w:val="22"/>
          <w:color w:val="auto"/>
        </w:rPr>
        <w:t>c/o Northern Trust Company PO Box 92395</w:t>
      </w:r>
    </w:p>
    <w:p>
      <w:pPr>
        <w:spacing w:after="0" w:line="1" w:lineRule="exact"/>
        <w:rPr>
          <w:rFonts w:ascii="Arial" w:cs="Arial" w:eastAsia="Arial" w:hAnsi="Arial"/>
          <w:sz w:val="22"/>
          <w:szCs w:val="22"/>
          <w:color w:val="auto"/>
        </w:rPr>
      </w:pPr>
    </w:p>
    <w:p>
      <w:pPr>
        <w:jc w:val="both"/>
        <w:ind w:left="660" w:right="8520"/>
        <w:spacing w:after="0" w:line="326" w:lineRule="auto"/>
        <w:rPr>
          <w:rFonts w:ascii="Arial" w:cs="Arial" w:eastAsia="Arial" w:hAnsi="Arial"/>
          <w:sz w:val="22"/>
          <w:szCs w:val="22"/>
          <w:color w:val="auto"/>
        </w:rPr>
      </w:pPr>
      <w:r>
        <w:rPr>
          <w:rFonts w:ascii="Arial" w:cs="Arial" w:eastAsia="Arial" w:hAnsi="Arial"/>
          <w:sz w:val="19"/>
          <w:szCs w:val="19"/>
          <w:color w:val="auto"/>
        </w:rPr>
        <w:t>Chicago, IL 60675-92395 Attn: Income Collections</w:t>
      </w:r>
    </w:p>
    <w:p>
      <w:pPr>
        <w:ind w:left="660"/>
        <w:spacing w:after="0"/>
        <w:rPr>
          <w:rFonts w:ascii="Arial" w:cs="Arial" w:eastAsia="Arial" w:hAnsi="Arial"/>
          <w:sz w:val="22"/>
          <w:szCs w:val="22"/>
          <w:color w:val="auto"/>
        </w:rPr>
      </w:pPr>
      <w:r>
        <w:rPr>
          <w:rFonts w:ascii="Arial" w:cs="Arial" w:eastAsia="Arial" w:hAnsi="Arial"/>
          <w:sz w:val="22"/>
          <w:szCs w:val="22"/>
          <w:color w:val="auto"/>
        </w:rPr>
        <w:t>Please include the cusip and shares/par for the dividend/interest payment</w:t>
      </w:r>
    </w:p>
    <w:p>
      <w:pPr>
        <w:spacing w:after="0" w:line="287" w:lineRule="exact"/>
        <w:rPr>
          <w:rFonts w:ascii="Arial" w:cs="Arial" w:eastAsia="Arial" w:hAnsi="Arial"/>
          <w:sz w:val="22"/>
          <w:szCs w:val="22"/>
          <w:color w:val="auto"/>
        </w:rPr>
      </w:pPr>
    </w:p>
    <w:p>
      <w:pPr>
        <w:ind w:left="660" w:hanging="652"/>
        <w:spacing w:after="0"/>
        <w:tabs>
          <w:tab w:leader="none" w:pos="6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Address for all other communications:</w:t>
      </w:r>
    </w:p>
    <w:p>
      <w:pPr>
        <w:spacing w:after="0" w:line="28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Donna Baggerly</w:t>
      </w:r>
    </w:p>
    <w:p>
      <w:pPr>
        <w:spacing w:after="0" w:line="4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VP Insurance Portfolios</w:t>
      </w:r>
    </w:p>
    <w:p>
      <w:pPr>
        <w:sectPr>
          <w:pgSz w:w="11900" w:h="16838" w:orient="portrait"/>
          <w:cols w:equalWidth="0" w:num="1">
            <w:col w:w="11420"/>
          </w:cols>
          <w:pgMar w:left="240" w:top="1293" w:right="239" w:bottom="1440" w:gutter="0" w:footer="0" w:header="0"/>
          <w:type w:val="continuous"/>
        </w:sectPr>
      </w:pPr>
    </w:p>
    <w:bookmarkStart w:id="210" w:name="page211"/>
    <w:bookmarkEnd w:id="210"/>
    <w:p>
      <w:pPr>
        <w:ind w:left="652"/>
        <w:spacing w:after="0"/>
        <w:rPr>
          <w:sz w:val="20"/>
          <w:szCs w:val="20"/>
          <w:color w:val="auto"/>
        </w:rPr>
      </w:pPr>
      <w:r>
        <w:rPr>
          <w:rFonts w:ascii="Arial" w:cs="Arial" w:eastAsia="Arial" w:hAnsi="Arial"/>
          <w:sz w:val="22"/>
          <w:szCs w:val="22"/>
          <w:color w:val="auto"/>
        </w:rPr>
        <w:t>9800 Fredericksburg Road</w:t>
      </w:r>
    </w:p>
    <w:p>
      <w:pPr>
        <w:spacing w:after="0" w:line="4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San Antonio, TX 78288</w:t>
      </w:r>
    </w:p>
    <w:p>
      <w:pPr>
        <w:spacing w:after="0" w:line="4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(210) 498-5195</w:t>
      </w:r>
    </w:p>
    <w:p>
      <w:pPr>
        <w:spacing w:after="0" w:line="287" w:lineRule="exact"/>
        <w:rPr>
          <w:sz w:val="20"/>
          <w:szCs w:val="20"/>
          <w:color w:val="auto"/>
        </w:rPr>
      </w:pPr>
    </w:p>
    <w:p>
      <w:pPr>
        <w:ind w:left="652" w:hanging="652"/>
        <w:spacing w:after="0"/>
        <w:tabs>
          <w:tab w:leader="none" w:pos="65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Name of Nominee in which Notes are to be issued: ELL &amp; CO.</w:t>
      </w:r>
    </w:p>
    <w:p>
      <w:pPr>
        <w:spacing w:after="0" w:line="321" w:lineRule="exact"/>
        <w:rPr>
          <w:rFonts w:ascii="Arial" w:cs="Arial" w:eastAsia="Arial" w:hAnsi="Arial"/>
          <w:sz w:val="19"/>
          <w:szCs w:val="19"/>
          <w:color w:val="auto"/>
        </w:rPr>
      </w:pPr>
    </w:p>
    <w:p>
      <w:pPr>
        <w:ind w:left="652" w:hanging="652"/>
        <w:spacing w:after="0"/>
        <w:tabs>
          <w:tab w:leader="none" w:pos="65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Tax Identification Number: 74-0959140</w:t>
      </w:r>
    </w:p>
    <w:p>
      <w:pPr>
        <w:spacing w:after="0" w:line="287" w:lineRule="exact"/>
        <w:rPr>
          <w:rFonts w:ascii="Arial" w:cs="Arial" w:eastAsia="Arial" w:hAnsi="Arial"/>
          <w:sz w:val="22"/>
          <w:szCs w:val="22"/>
          <w:color w:val="auto"/>
        </w:rPr>
      </w:pPr>
    </w:p>
    <w:p>
      <w:pPr>
        <w:ind w:left="652" w:hanging="652"/>
        <w:spacing w:after="0"/>
        <w:tabs>
          <w:tab w:leader="none" w:pos="652" w:val="left"/>
        </w:tabs>
        <w:numPr>
          <w:ilvl w:val="0"/>
          <w:numId w:val="147"/>
        </w:numPr>
        <w:rPr>
          <w:rFonts w:ascii="Arial" w:cs="Arial" w:eastAsia="Arial" w:hAnsi="Arial"/>
          <w:sz w:val="22"/>
          <w:szCs w:val="22"/>
          <w:color w:val="auto"/>
        </w:rPr>
      </w:pPr>
      <w:r>
        <w:rPr>
          <w:rFonts w:ascii="Arial" w:cs="Arial" w:eastAsia="Arial" w:hAnsi="Arial"/>
          <w:sz w:val="22"/>
          <w:szCs w:val="22"/>
          <w:i w:val="1"/>
          <w:iCs w:val="1"/>
          <w:color w:val="auto"/>
        </w:rPr>
        <w:t>Physical Delivery of Notes:</w:t>
      </w:r>
    </w:p>
    <w:p>
      <w:pPr>
        <w:spacing w:after="0" w:line="287" w:lineRule="exact"/>
        <w:rPr>
          <w:rFonts w:ascii="Arial" w:cs="Arial" w:eastAsia="Arial" w:hAnsi="Arial"/>
          <w:sz w:val="22"/>
          <w:szCs w:val="22"/>
          <w:color w:val="auto"/>
        </w:rPr>
      </w:pPr>
    </w:p>
    <w:p>
      <w:pPr>
        <w:ind w:left="652" w:right="5919"/>
        <w:spacing w:after="0" w:line="281" w:lineRule="auto"/>
        <w:rPr>
          <w:rFonts w:ascii="Arial" w:cs="Arial" w:eastAsia="Arial" w:hAnsi="Arial"/>
          <w:sz w:val="22"/>
          <w:szCs w:val="22"/>
          <w:color w:val="auto"/>
        </w:rPr>
      </w:pPr>
      <w:r>
        <w:rPr>
          <w:rFonts w:ascii="Arial" w:cs="Arial" w:eastAsia="Arial" w:hAnsi="Arial"/>
          <w:sz w:val="22"/>
          <w:szCs w:val="22"/>
          <w:i w:val="1"/>
          <w:iCs w:val="1"/>
          <w:color w:val="auto"/>
        </w:rPr>
        <w:t>Depositary Trust &amp; Clearing Corporation Newport Office Center</w:t>
      </w:r>
    </w:p>
    <w:p>
      <w:pPr>
        <w:spacing w:after="0" w:line="1" w:lineRule="exact"/>
        <w:rPr>
          <w:rFonts w:ascii="Arial" w:cs="Arial" w:eastAsia="Arial" w:hAnsi="Arial"/>
          <w:sz w:val="22"/>
          <w:szCs w:val="22"/>
          <w:color w:val="auto"/>
        </w:rPr>
      </w:pPr>
    </w:p>
    <w:p>
      <w:pPr>
        <w:ind w:left="652" w:right="7659"/>
        <w:spacing w:after="0" w:line="281" w:lineRule="auto"/>
        <w:rPr>
          <w:rFonts w:ascii="Arial" w:cs="Arial" w:eastAsia="Arial" w:hAnsi="Arial"/>
          <w:sz w:val="22"/>
          <w:szCs w:val="22"/>
          <w:color w:val="auto"/>
        </w:rPr>
      </w:pPr>
      <w:r>
        <w:rPr>
          <w:rFonts w:ascii="Arial" w:cs="Arial" w:eastAsia="Arial" w:hAnsi="Arial"/>
          <w:sz w:val="22"/>
          <w:szCs w:val="22"/>
          <w:i w:val="1"/>
          <w:iCs w:val="1"/>
          <w:color w:val="auto"/>
        </w:rPr>
        <w:t>570 Washington Blvd. 5th Floor</w:t>
      </w:r>
    </w:p>
    <w:p>
      <w:pPr>
        <w:spacing w:after="0" w:line="1"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Jersey City, NJ 07310</w:t>
      </w:r>
    </w:p>
    <w:p>
      <w:pPr>
        <w:spacing w:after="0" w:line="44"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Attn: Tanya Stackhouse-Bowen or Robert Mendez</w:t>
      </w:r>
    </w:p>
    <w:p>
      <w:pPr>
        <w:spacing w:after="0" w:line="44" w:lineRule="exact"/>
        <w:rPr>
          <w:rFonts w:ascii="Arial" w:cs="Arial" w:eastAsia="Arial" w:hAnsi="Arial"/>
          <w:sz w:val="22"/>
          <w:szCs w:val="22"/>
          <w:color w:val="auto"/>
        </w:rPr>
      </w:pPr>
    </w:p>
    <w:p>
      <w:pPr>
        <w:ind w:left="652" w:right="4919"/>
        <w:spacing w:after="0" w:line="302" w:lineRule="auto"/>
        <w:rPr>
          <w:rFonts w:ascii="Arial" w:cs="Arial" w:eastAsia="Arial" w:hAnsi="Arial"/>
          <w:sz w:val="22"/>
          <w:szCs w:val="22"/>
          <w:color w:val="auto"/>
        </w:rPr>
      </w:pPr>
      <w:r>
        <w:rPr>
          <w:rFonts w:ascii="Arial" w:cs="Arial" w:eastAsia="Arial" w:hAnsi="Arial"/>
          <w:sz w:val="22"/>
          <w:szCs w:val="22"/>
          <w:i w:val="1"/>
          <w:iCs w:val="1"/>
          <w:color w:val="auto"/>
        </w:rPr>
        <w:t>Reference: Northern Trust Account # 26-11037/USAA 212-855-2484</w:t>
      </w:r>
    </w:p>
    <w:p>
      <w:pPr>
        <w:sectPr>
          <w:pgSz w:w="11900" w:h="16838" w:orient="portrait"/>
          <w:cols w:equalWidth="0" w:num="1">
            <w:col w:w="10211"/>
          </w:cols>
          <w:pgMar w:left="248" w:top="685" w:right="1440" w:bottom="1440" w:gutter="0" w:footer="0" w:header="0"/>
        </w:sectPr>
      </w:pPr>
    </w:p>
    <w:bookmarkStart w:id="211" w:name="page212"/>
    <w:bookmarkEnd w:id="211"/>
    <w:p>
      <w:pPr>
        <w:ind w:left="40"/>
        <w:spacing w:after="0"/>
        <w:rPr>
          <w:sz w:val="20"/>
          <w:szCs w:val="20"/>
          <w:color w:val="auto"/>
        </w:rPr>
      </w:pPr>
      <w:r>
        <w:rPr>
          <w:rFonts w:ascii="Arial" w:cs="Arial" w:eastAsia="Arial" w:hAnsi="Arial"/>
          <w:sz w:val="19"/>
          <w:szCs w:val="19"/>
          <w:color w:val="auto"/>
        </w:rPr>
        <w:t>Name and Address of Purchaser</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21"/>
          <w:szCs w:val="21"/>
          <w:color w:val="auto"/>
        </w:rPr>
        <w:t>Principal Amount of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Notes to be Purchased</w:t>
      </w:r>
    </w:p>
    <w:p>
      <w:pPr>
        <w:spacing w:after="0" w:line="200" w:lineRule="exact"/>
        <w:rPr>
          <w:sz w:val="20"/>
          <w:szCs w:val="20"/>
          <w:color w:val="auto"/>
        </w:rPr>
      </w:pPr>
    </w:p>
    <w:p>
      <w:pPr>
        <w:sectPr>
          <w:pgSz w:w="11900" w:h="16838" w:orient="portrait"/>
          <w:cols w:equalWidth="0" w:num="2">
            <w:col w:w="7280" w:space="720"/>
            <w:col w:w="3420"/>
          </w:cols>
          <w:pgMar w:left="240" w:top="1293" w:right="239" w:bottom="1440" w:gutter="0" w:footer="0" w:header="0"/>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USAA CASUALTY INSURANCE COMPANY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Series 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$5,000,000</w:t>
      </w:r>
    </w:p>
    <w:p>
      <w:pPr>
        <w:spacing w:after="0" w:line="83" w:lineRule="exact"/>
        <w:rPr>
          <w:sz w:val="20"/>
          <w:szCs w:val="20"/>
          <w:color w:val="auto"/>
        </w:rPr>
      </w:pPr>
    </w:p>
    <w:p>
      <w:pPr>
        <w:sectPr>
          <w:pgSz w:w="11900" w:h="16838" w:orient="portrait"/>
          <w:cols w:equalWidth="0" w:num="3">
            <w:col w:w="6460" w:space="720"/>
            <w:col w:w="1600" w:space="720"/>
            <w:col w:w="1920"/>
          </w:cols>
          <w:pgMar w:left="240" w:top="1293"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9800 Fredericksburg Road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Antonio, TX 78288</w:t>
      </w:r>
    </w:p>
    <w:p>
      <w:pPr>
        <w:sectPr>
          <w:pgSz w:w="11900" w:h="16838" w:orient="portrait"/>
          <w:cols w:equalWidth="0" w:num="1">
            <w:col w:w="11420"/>
          </w:cols>
          <w:pgMar w:left="240" w:top="1293" w:right="2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87" w:lineRule="exact"/>
        <w:rPr>
          <w:sz w:val="20"/>
          <w:szCs w:val="20"/>
          <w:color w:val="auto"/>
        </w:rPr>
      </w:pPr>
    </w:p>
    <w:p>
      <w:pPr>
        <w:ind w:left="660" w:hanging="652"/>
        <w:spacing w:after="0" w:line="302" w:lineRule="auto"/>
        <w:tabs>
          <w:tab w:leader="none" w:pos="66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payments on account of Notes held by such purchaser shall be made by wire transfer of immediately available funds for credit to:</w:t>
      </w:r>
    </w:p>
    <w:p>
      <w:pPr>
        <w:spacing w:after="0" w:line="200" w:lineRule="exact"/>
        <w:rPr>
          <w:rFonts w:ascii="Arial" w:cs="Arial" w:eastAsia="Arial" w:hAnsi="Arial"/>
          <w:sz w:val="22"/>
          <w:szCs w:val="22"/>
          <w:color w:val="auto"/>
        </w:rPr>
      </w:pPr>
    </w:p>
    <w:p>
      <w:pPr>
        <w:ind w:left="660" w:right="8960"/>
        <w:spacing w:after="0" w:line="326" w:lineRule="auto"/>
        <w:rPr>
          <w:rFonts w:ascii="Arial" w:cs="Arial" w:eastAsia="Arial" w:hAnsi="Arial"/>
          <w:sz w:val="22"/>
          <w:szCs w:val="22"/>
          <w:color w:val="auto"/>
        </w:rPr>
      </w:pPr>
      <w:r>
        <w:rPr>
          <w:rFonts w:ascii="Arial" w:cs="Arial" w:eastAsia="Arial" w:hAnsi="Arial"/>
          <w:sz w:val="19"/>
          <w:szCs w:val="19"/>
          <w:color w:val="auto"/>
        </w:rPr>
        <w:t>Northern Chgo/Trust ABA#071000152</w:t>
      </w:r>
    </w:p>
    <w:p>
      <w:pPr>
        <w:ind w:left="660" w:right="7660"/>
        <w:spacing w:after="0" w:line="281" w:lineRule="auto"/>
        <w:rPr>
          <w:rFonts w:ascii="Arial" w:cs="Arial" w:eastAsia="Arial" w:hAnsi="Arial"/>
          <w:sz w:val="22"/>
          <w:szCs w:val="22"/>
          <w:color w:val="auto"/>
        </w:rPr>
      </w:pPr>
      <w:r>
        <w:rPr>
          <w:rFonts w:ascii="Arial" w:cs="Arial" w:eastAsia="Arial" w:hAnsi="Arial"/>
          <w:sz w:val="22"/>
          <w:szCs w:val="22"/>
          <w:color w:val="auto"/>
        </w:rPr>
        <w:t>Credit Wire Account # 5186061000 26-11038/CIC</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PPN # 02401@ AA7</w:t>
      </w:r>
    </w:p>
    <w:p>
      <w:pPr>
        <w:spacing w:after="0" w:line="287" w:lineRule="exact"/>
        <w:rPr>
          <w:rFonts w:ascii="Arial" w:cs="Arial" w:eastAsia="Arial" w:hAnsi="Arial"/>
          <w:sz w:val="22"/>
          <w:szCs w:val="22"/>
          <w:color w:val="auto"/>
        </w:rPr>
      </w:pPr>
    </w:p>
    <w:p>
      <w:pPr>
        <w:ind w:left="660"/>
        <w:spacing w:after="0" w:line="328" w:lineRule="auto"/>
        <w:rPr>
          <w:rFonts w:ascii="Arial" w:cs="Arial" w:eastAsia="Arial" w:hAnsi="Arial"/>
          <w:sz w:val="22"/>
          <w:szCs w:val="22"/>
          <w:color w:val="auto"/>
        </w:rPr>
      </w:pPr>
      <w:r>
        <w:rPr>
          <w:rFonts w:ascii="Arial" w:cs="Arial" w:eastAsia="Arial" w:hAnsi="Arial"/>
          <w:sz w:val="21"/>
          <w:szCs w:val="21"/>
          <w:color w:val="auto"/>
        </w:rPr>
        <w:t>With sufficient information to identify the source and application of such funds, including the issuer name, the PPN of the issue, interest rate, payment due date, maturity date, interest amount, principal and premium amount.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Notices</w:t>
      </w:r>
    </w:p>
    <w:p>
      <w:pPr>
        <w:spacing w:after="0" w:line="287"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Address for notices relating to payments:</w:t>
      </w:r>
    </w:p>
    <w:p>
      <w:pPr>
        <w:spacing w:after="0" w:line="28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Ell &amp; Co</w:t>
      </w:r>
    </w:p>
    <w:p>
      <w:pPr>
        <w:spacing w:after="0" w:line="44" w:lineRule="exact"/>
        <w:rPr>
          <w:rFonts w:ascii="Arial" w:cs="Arial" w:eastAsia="Arial" w:hAnsi="Arial"/>
          <w:sz w:val="22"/>
          <w:szCs w:val="22"/>
          <w:color w:val="auto"/>
        </w:rPr>
      </w:pPr>
    </w:p>
    <w:p>
      <w:pPr>
        <w:ind w:left="660" w:right="8260"/>
        <w:spacing w:after="0" w:line="281" w:lineRule="auto"/>
        <w:rPr>
          <w:rFonts w:ascii="Arial" w:cs="Arial" w:eastAsia="Arial" w:hAnsi="Arial"/>
          <w:sz w:val="22"/>
          <w:szCs w:val="22"/>
          <w:color w:val="auto"/>
        </w:rPr>
      </w:pPr>
      <w:r>
        <w:rPr>
          <w:rFonts w:ascii="Arial" w:cs="Arial" w:eastAsia="Arial" w:hAnsi="Arial"/>
          <w:sz w:val="22"/>
          <w:szCs w:val="22"/>
          <w:color w:val="auto"/>
        </w:rPr>
        <w:t>c/o Northern Trust Company PO Box 92395</w:t>
      </w:r>
    </w:p>
    <w:p>
      <w:pPr>
        <w:spacing w:after="0" w:line="1" w:lineRule="exact"/>
        <w:rPr>
          <w:rFonts w:ascii="Arial" w:cs="Arial" w:eastAsia="Arial" w:hAnsi="Arial"/>
          <w:sz w:val="22"/>
          <w:szCs w:val="22"/>
          <w:color w:val="auto"/>
        </w:rPr>
      </w:pPr>
    </w:p>
    <w:p>
      <w:pPr>
        <w:jc w:val="both"/>
        <w:ind w:left="660" w:right="8520"/>
        <w:spacing w:after="0" w:line="326" w:lineRule="auto"/>
        <w:rPr>
          <w:rFonts w:ascii="Arial" w:cs="Arial" w:eastAsia="Arial" w:hAnsi="Arial"/>
          <w:sz w:val="22"/>
          <w:szCs w:val="22"/>
          <w:color w:val="auto"/>
        </w:rPr>
      </w:pPr>
      <w:r>
        <w:rPr>
          <w:rFonts w:ascii="Arial" w:cs="Arial" w:eastAsia="Arial" w:hAnsi="Arial"/>
          <w:sz w:val="19"/>
          <w:szCs w:val="19"/>
          <w:color w:val="auto"/>
        </w:rPr>
        <w:t>Chicago, IL 60675-92395 Attn: Income Collections</w:t>
      </w:r>
    </w:p>
    <w:p>
      <w:pPr>
        <w:ind w:left="660"/>
        <w:spacing w:after="0"/>
        <w:rPr>
          <w:rFonts w:ascii="Arial" w:cs="Arial" w:eastAsia="Arial" w:hAnsi="Arial"/>
          <w:sz w:val="22"/>
          <w:szCs w:val="22"/>
          <w:color w:val="auto"/>
        </w:rPr>
      </w:pPr>
      <w:r>
        <w:rPr>
          <w:rFonts w:ascii="Arial" w:cs="Arial" w:eastAsia="Arial" w:hAnsi="Arial"/>
          <w:sz w:val="22"/>
          <w:szCs w:val="22"/>
          <w:color w:val="auto"/>
        </w:rPr>
        <w:t>Please include the cusip and shares/par for the dividend/interest payment</w:t>
      </w:r>
    </w:p>
    <w:p>
      <w:pPr>
        <w:spacing w:after="0" w:line="287" w:lineRule="exact"/>
        <w:rPr>
          <w:rFonts w:ascii="Arial" w:cs="Arial" w:eastAsia="Arial" w:hAnsi="Arial"/>
          <w:sz w:val="22"/>
          <w:szCs w:val="22"/>
          <w:color w:val="auto"/>
        </w:rPr>
      </w:pPr>
    </w:p>
    <w:p>
      <w:pPr>
        <w:ind w:left="660" w:hanging="652"/>
        <w:spacing w:after="0"/>
        <w:tabs>
          <w:tab w:leader="none" w:pos="6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Address for all other communications:</w:t>
      </w:r>
    </w:p>
    <w:p>
      <w:pPr>
        <w:spacing w:after="0" w:line="28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Donna Baggerly</w:t>
      </w:r>
    </w:p>
    <w:p>
      <w:pPr>
        <w:spacing w:after="0" w:line="44" w:lineRule="exact"/>
        <w:rPr>
          <w:rFonts w:ascii="Arial" w:cs="Arial" w:eastAsia="Arial" w:hAnsi="Arial"/>
          <w:sz w:val="22"/>
          <w:szCs w:val="22"/>
          <w:color w:val="auto"/>
        </w:rPr>
      </w:pPr>
    </w:p>
    <w:p>
      <w:pPr>
        <w:ind w:left="660" w:right="8460"/>
        <w:spacing w:after="0" w:line="387" w:lineRule="auto"/>
        <w:rPr>
          <w:rFonts w:ascii="Arial" w:cs="Arial" w:eastAsia="Arial" w:hAnsi="Arial"/>
          <w:sz w:val="22"/>
          <w:szCs w:val="22"/>
          <w:color w:val="auto"/>
        </w:rPr>
      </w:pPr>
      <w:r>
        <w:rPr>
          <w:rFonts w:ascii="Arial" w:cs="Arial" w:eastAsia="Arial" w:hAnsi="Arial"/>
          <w:sz w:val="19"/>
          <w:szCs w:val="19"/>
          <w:color w:val="auto"/>
        </w:rPr>
        <w:t>VP Insurance Portfolios 9800 Fredericksburg Road</w:t>
      </w:r>
    </w:p>
    <w:p>
      <w:pPr>
        <w:sectPr>
          <w:pgSz w:w="11900" w:h="16838" w:orient="portrait"/>
          <w:cols w:equalWidth="0" w:num="1">
            <w:col w:w="11420"/>
          </w:cols>
          <w:pgMar w:left="240" w:top="1293" w:right="239" w:bottom="1440" w:gutter="0" w:footer="0" w:header="0"/>
          <w:type w:val="continuous"/>
        </w:sectPr>
      </w:pPr>
    </w:p>
    <w:bookmarkStart w:id="212" w:name="page213"/>
    <w:bookmarkEnd w:id="212"/>
    <w:p>
      <w:pPr>
        <w:ind w:left="652"/>
        <w:spacing w:after="0"/>
        <w:rPr>
          <w:sz w:val="20"/>
          <w:szCs w:val="20"/>
          <w:color w:val="auto"/>
        </w:rPr>
      </w:pPr>
      <w:r>
        <w:rPr>
          <w:rFonts w:ascii="Arial" w:cs="Arial" w:eastAsia="Arial" w:hAnsi="Arial"/>
          <w:sz w:val="22"/>
          <w:szCs w:val="22"/>
          <w:color w:val="auto"/>
        </w:rPr>
        <w:t>San Antonio, TX 78288</w:t>
      </w:r>
    </w:p>
    <w:p>
      <w:pPr>
        <w:spacing w:after="0" w:line="4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(210) 498-5195</w:t>
      </w:r>
    </w:p>
    <w:p>
      <w:pPr>
        <w:spacing w:after="0" w:line="287" w:lineRule="exact"/>
        <w:rPr>
          <w:sz w:val="20"/>
          <w:szCs w:val="20"/>
          <w:color w:val="auto"/>
        </w:rPr>
      </w:pPr>
    </w:p>
    <w:p>
      <w:pPr>
        <w:ind w:left="652" w:hanging="652"/>
        <w:spacing w:after="0"/>
        <w:tabs>
          <w:tab w:leader="none" w:pos="652" w:val="left"/>
        </w:tabs>
        <w:numPr>
          <w:ilvl w:val="0"/>
          <w:numId w:val="150"/>
        </w:numPr>
        <w:rPr>
          <w:rFonts w:ascii="Arial" w:cs="Arial" w:eastAsia="Arial" w:hAnsi="Arial"/>
          <w:sz w:val="19"/>
          <w:szCs w:val="19"/>
          <w:color w:val="auto"/>
        </w:rPr>
      </w:pPr>
      <w:r>
        <w:rPr>
          <w:rFonts w:ascii="Arial" w:cs="Arial" w:eastAsia="Arial" w:hAnsi="Arial"/>
          <w:sz w:val="19"/>
          <w:szCs w:val="19"/>
          <w:color w:val="auto"/>
        </w:rPr>
        <w:t>Name of Nominee in which Notes are to be issued: ELL &amp; CO.</w:t>
      </w:r>
    </w:p>
    <w:p>
      <w:pPr>
        <w:spacing w:after="0" w:line="321" w:lineRule="exact"/>
        <w:rPr>
          <w:rFonts w:ascii="Arial" w:cs="Arial" w:eastAsia="Arial" w:hAnsi="Arial"/>
          <w:sz w:val="19"/>
          <w:szCs w:val="19"/>
          <w:color w:val="auto"/>
        </w:rPr>
      </w:pPr>
    </w:p>
    <w:p>
      <w:pPr>
        <w:ind w:left="652" w:hanging="652"/>
        <w:spacing w:after="0"/>
        <w:tabs>
          <w:tab w:leader="none" w:pos="652"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Tax Identification Number: 59-3019540</w:t>
      </w:r>
    </w:p>
    <w:p>
      <w:pPr>
        <w:spacing w:after="0" w:line="287" w:lineRule="exact"/>
        <w:rPr>
          <w:rFonts w:ascii="Arial" w:cs="Arial" w:eastAsia="Arial" w:hAnsi="Arial"/>
          <w:sz w:val="22"/>
          <w:szCs w:val="22"/>
          <w:color w:val="auto"/>
        </w:rPr>
      </w:pPr>
    </w:p>
    <w:p>
      <w:pPr>
        <w:ind w:left="652" w:hanging="652"/>
        <w:spacing w:after="0"/>
        <w:tabs>
          <w:tab w:leader="none" w:pos="652" w:val="left"/>
        </w:tabs>
        <w:numPr>
          <w:ilvl w:val="0"/>
          <w:numId w:val="150"/>
        </w:numPr>
        <w:rPr>
          <w:rFonts w:ascii="Arial" w:cs="Arial" w:eastAsia="Arial" w:hAnsi="Arial"/>
          <w:sz w:val="22"/>
          <w:szCs w:val="22"/>
          <w:color w:val="auto"/>
        </w:rPr>
      </w:pPr>
      <w:r>
        <w:rPr>
          <w:rFonts w:ascii="Arial" w:cs="Arial" w:eastAsia="Arial" w:hAnsi="Arial"/>
          <w:sz w:val="22"/>
          <w:szCs w:val="22"/>
          <w:i w:val="1"/>
          <w:iCs w:val="1"/>
          <w:color w:val="auto"/>
        </w:rPr>
        <w:t>Physical Delivery of Notes:</w:t>
      </w:r>
    </w:p>
    <w:p>
      <w:pPr>
        <w:spacing w:after="0" w:line="287" w:lineRule="exact"/>
        <w:rPr>
          <w:rFonts w:ascii="Arial" w:cs="Arial" w:eastAsia="Arial" w:hAnsi="Arial"/>
          <w:sz w:val="22"/>
          <w:szCs w:val="22"/>
          <w:color w:val="auto"/>
        </w:rPr>
      </w:pPr>
    </w:p>
    <w:p>
      <w:pPr>
        <w:ind w:left="652" w:right="5919"/>
        <w:spacing w:after="0" w:line="281" w:lineRule="auto"/>
        <w:rPr>
          <w:rFonts w:ascii="Arial" w:cs="Arial" w:eastAsia="Arial" w:hAnsi="Arial"/>
          <w:sz w:val="22"/>
          <w:szCs w:val="22"/>
          <w:color w:val="auto"/>
        </w:rPr>
      </w:pPr>
      <w:r>
        <w:rPr>
          <w:rFonts w:ascii="Arial" w:cs="Arial" w:eastAsia="Arial" w:hAnsi="Arial"/>
          <w:sz w:val="22"/>
          <w:szCs w:val="22"/>
          <w:i w:val="1"/>
          <w:iCs w:val="1"/>
          <w:color w:val="auto"/>
        </w:rPr>
        <w:t>Depositary Trust &amp; Clearing Corporation Newport Office Center</w:t>
      </w:r>
    </w:p>
    <w:p>
      <w:pPr>
        <w:spacing w:after="0" w:line="1" w:lineRule="exact"/>
        <w:rPr>
          <w:rFonts w:ascii="Arial" w:cs="Arial" w:eastAsia="Arial" w:hAnsi="Arial"/>
          <w:sz w:val="22"/>
          <w:szCs w:val="22"/>
          <w:color w:val="auto"/>
        </w:rPr>
      </w:pPr>
    </w:p>
    <w:p>
      <w:pPr>
        <w:ind w:left="652" w:right="7659"/>
        <w:spacing w:after="0" w:line="281" w:lineRule="auto"/>
        <w:rPr>
          <w:rFonts w:ascii="Arial" w:cs="Arial" w:eastAsia="Arial" w:hAnsi="Arial"/>
          <w:sz w:val="22"/>
          <w:szCs w:val="22"/>
          <w:color w:val="auto"/>
        </w:rPr>
      </w:pPr>
      <w:r>
        <w:rPr>
          <w:rFonts w:ascii="Arial" w:cs="Arial" w:eastAsia="Arial" w:hAnsi="Arial"/>
          <w:sz w:val="22"/>
          <w:szCs w:val="22"/>
          <w:i w:val="1"/>
          <w:iCs w:val="1"/>
          <w:color w:val="auto"/>
        </w:rPr>
        <w:t>570 Washington Blvd. 5th Floor</w:t>
      </w:r>
    </w:p>
    <w:p>
      <w:pPr>
        <w:spacing w:after="0" w:line="1"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Jersey City, NJ 07310</w:t>
      </w:r>
    </w:p>
    <w:p>
      <w:pPr>
        <w:spacing w:after="0" w:line="44"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Attn: Tanya Stackhouse-Bowen or Robert Mendez</w:t>
      </w:r>
    </w:p>
    <w:p>
      <w:pPr>
        <w:spacing w:after="0" w:line="44" w:lineRule="exact"/>
        <w:rPr>
          <w:rFonts w:ascii="Arial" w:cs="Arial" w:eastAsia="Arial" w:hAnsi="Arial"/>
          <w:sz w:val="22"/>
          <w:szCs w:val="22"/>
          <w:color w:val="auto"/>
        </w:rPr>
      </w:pPr>
    </w:p>
    <w:p>
      <w:pPr>
        <w:ind w:left="652" w:right="5079"/>
        <w:spacing w:after="0" w:line="302" w:lineRule="auto"/>
        <w:rPr>
          <w:rFonts w:ascii="Arial" w:cs="Arial" w:eastAsia="Arial" w:hAnsi="Arial"/>
          <w:sz w:val="22"/>
          <w:szCs w:val="22"/>
          <w:color w:val="auto"/>
        </w:rPr>
      </w:pPr>
      <w:r>
        <w:rPr>
          <w:rFonts w:ascii="Arial" w:cs="Arial" w:eastAsia="Arial" w:hAnsi="Arial"/>
          <w:sz w:val="22"/>
          <w:szCs w:val="22"/>
          <w:i w:val="1"/>
          <w:iCs w:val="1"/>
          <w:color w:val="auto"/>
        </w:rPr>
        <w:t>Reference: Northern Trust Account # 26-11038/CIC 212-855-2484</w:t>
      </w:r>
    </w:p>
    <w:p>
      <w:pPr>
        <w:sectPr>
          <w:pgSz w:w="11900" w:h="16838" w:orient="portrait"/>
          <w:cols w:equalWidth="0" w:num="1">
            <w:col w:w="10211"/>
          </w:cols>
          <w:pgMar w:left="248" w:top="686" w:right="1440" w:bottom="1440" w:gutter="0" w:footer="0" w:header="0"/>
        </w:sectPr>
      </w:pPr>
    </w:p>
    <w:bookmarkStart w:id="213" w:name="page214"/>
    <w:bookmarkEnd w:id="213"/>
    <w:p>
      <w:pPr>
        <w:ind w:left="40"/>
        <w:spacing w:after="0"/>
        <w:rPr>
          <w:sz w:val="20"/>
          <w:szCs w:val="20"/>
          <w:color w:val="auto"/>
        </w:rPr>
      </w:pPr>
      <w:r>
        <w:rPr>
          <w:rFonts w:ascii="Arial" w:cs="Arial" w:eastAsia="Arial" w:hAnsi="Arial"/>
          <w:sz w:val="19"/>
          <w:szCs w:val="19"/>
          <w:color w:val="auto"/>
        </w:rPr>
        <w:t>Name and Address of Purchaser</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21"/>
          <w:szCs w:val="21"/>
          <w:color w:val="auto"/>
        </w:rPr>
        <w:t>Principal Amount of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Notes to be Purchased</w:t>
      </w:r>
    </w:p>
    <w:p>
      <w:pPr>
        <w:spacing w:after="0" w:line="200" w:lineRule="exact"/>
        <w:rPr>
          <w:sz w:val="20"/>
          <w:szCs w:val="20"/>
          <w:color w:val="auto"/>
        </w:rPr>
      </w:pPr>
    </w:p>
    <w:p>
      <w:pPr>
        <w:sectPr>
          <w:pgSz w:w="11900" w:h="16838" w:orient="portrait"/>
          <w:cols w:equalWidth="0" w:num="2">
            <w:col w:w="7280" w:space="720"/>
            <w:col w:w="3420"/>
          </w:cols>
          <w:pgMar w:left="240" w:top="1293" w:right="239" w:bottom="1440" w:gutter="0" w:footer="0" w:header="0"/>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USAA GENERAL INDEMNITY COMPANY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Series 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$5,000,000</w:t>
      </w:r>
    </w:p>
    <w:p>
      <w:pPr>
        <w:spacing w:after="0" w:line="83" w:lineRule="exact"/>
        <w:rPr>
          <w:sz w:val="20"/>
          <w:szCs w:val="20"/>
          <w:color w:val="auto"/>
        </w:rPr>
      </w:pPr>
    </w:p>
    <w:p>
      <w:pPr>
        <w:sectPr>
          <w:pgSz w:w="11900" w:h="16838" w:orient="portrait"/>
          <w:cols w:equalWidth="0" w:num="3">
            <w:col w:w="6460" w:space="720"/>
            <w:col w:w="1600" w:space="720"/>
            <w:col w:w="1920"/>
          </w:cols>
          <w:pgMar w:left="240" w:top="1293"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9800 Fredericksburg Road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Antonio, TX 78288</w:t>
      </w:r>
    </w:p>
    <w:p>
      <w:pPr>
        <w:sectPr>
          <w:pgSz w:w="11900" w:h="16838" w:orient="portrait"/>
          <w:cols w:equalWidth="0" w:num="1">
            <w:col w:w="11420"/>
          </w:cols>
          <w:pgMar w:left="240" w:top="1293" w:right="2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87" w:lineRule="exact"/>
        <w:rPr>
          <w:sz w:val="20"/>
          <w:szCs w:val="20"/>
          <w:color w:val="auto"/>
        </w:rPr>
      </w:pPr>
    </w:p>
    <w:p>
      <w:pPr>
        <w:ind w:left="660" w:hanging="652"/>
        <w:spacing w:after="0" w:line="302" w:lineRule="auto"/>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All payments on account of Notes held by such purchaser shall be made by wire transfer of immediately available funds for credit to:</w:t>
      </w:r>
    </w:p>
    <w:p>
      <w:pPr>
        <w:spacing w:after="0" w:line="200" w:lineRule="exact"/>
        <w:rPr>
          <w:rFonts w:ascii="Arial" w:cs="Arial" w:eastAsia="Arial" w:hAnsi="Arial"/>
          <w:sz w:val="22"/>
          <w:szCs w:val="22"/>
          <w:color w:val="auto"/>
        </w:rPr>
      </w:pPr>
    </w:p>
    <w:p>
      <w:pPr>
        <w:ind w:left="660" w:right="8960"/>
        <w:spacing w:after="0" w:line="326" w:lineRule="auto"/>
        <w:rPr>
          <w:rFonts w:ascii="Arial" w:cs="Arial" w:eastAsia="Arial" w:hAnsi="Arial"/>
          <w:sz w:val="22"/>
          <w:szCs w:val="22"/>
          <w:color w:val="auto"/>
        </w:rPr>
      </w:pPr>
      <w:r>
        <w:rPr>
          <w:rFonts w:ascii="Arial" w:cs="Arial" w:eastAsia="Arial" w:hAnsi="Arial"/>
          <w:sz w:val="19"/>
          <w:szCs w:val="19"/>
          <w:color w:val="auto"/>
        </w:rPr>
        <w:t>Northern Chgo/Trust ABA#071000152</w:t>
      </w:r>
    </w:p>
    <w:p>
      <w:pPr>
        <w:ind w:left="660" w:right="7660"/>
        <w:spacing w:after="0" w:line="281" w:lineRule="auto"/>
        <w:rPr>
          <w:rFonts w:ascii="Arial" w:cs="Arial" w:eastAsia="Arial" w:hAnsi="Arial"/>
          <w:sz w:val="22"/>
          <w:szCs w:val="22"/>
          <w:color w:val="auto"/>
        </w:rPr>
      </w:pPr>
      <w:r>
        <w:rPr>
          <w:rFonts w:ascii="Arial" w:cs="Arial" w:eastAsia="Arial" w:hAnsi="Arial"/>
          <w:sz w:val="22"/>
          <w:szCs w:val="22"/>
          <w:color w:val="auto"/>
        </w:rPr>
        <w:t>Credit Wire Account # 5186061000 26-11039/GIC</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PPN # 02401@ AA7</w:t>
      </w:r>
    </w:p>
    <w:p>
      <w:pPr>
        <w:spacing w:after="0" w:line="287" w:lineRule="exact"/>
        <w:rPr>
          <w:rFonts w:ascii="Arial" w:cs="Arial" w:eastAsia="Arial" w:hAnsi="Arial"/>
          <w:sz w:val="22"/>
          <w:szCs w:val="22"/>
          <w:color w:val="auto"/>
        </w:rPr>
      </w:pPr>
    </w:p>
    <w:p>
      <w:pPr>
        <w:ind w:left="660"/>
        <w:spacing w:after="0" w:line="328" w:lineRule="auto"/>
        <w:rPr>
          <w:rFonts w:ascii="Arial" w:cs="Arial" w:eastAsia="Arial" w:hAnsi="Arial"/>
          <w:sz w:val="22"/>
          <w:szCs w:val="22"/>
          <w:color w:val="auto"/>
        </w:rPr>
      </w:pPr>
      <w:r>
        <w:rPr>
          <w:rFonts w:ascii="Arial" w:cs="Arial" w:eastAsia="Arial" w:hAnsi="Arial"/>
          <w:sz w:val="21"/>
          <w:szCs w:val="21"/>
          <w:color w:val="auto"/>
        </w:rPr>
        <w:t>With sufficient information to identify the source and application of such funds, including the issuer name, the PPN of the issue, interest rate, payment due date, maturity date, interest amount, principal and premium amount.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Notices</w:t>
      </w:r>
    </w:p>
    <w:p>
      <w:pPr>
        <w:spacing w:after="0" w:line="287"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Address for notices relating to payments:</w:t>
      </w:r>
    </w:p>
    <w:p>
      <w:pPr>
        <w:spacing w:after="0" w:line="28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Ell &amp; Co</w:t>
      </w:r>
    </w:p>
    <w:p>
      <w:pPr>
        <w:spacing w:after="0" w:line="44" w:lineRule="exact"/>
        <w:rPr>
          <w:rFonts w:ascii="Arial" w:cs="Arial" w:eastAsia="Arial" w:hAnsi="Arial"/>
          <w:sz w:val="22"/>
          <w:szCs w:val="22"/>
          <w:color w:val="auto"/>
        </w:rPr>
      </w:pPr>
    </w:p>
    <w:p>
      <w:pPr>
        <w:ind w:left="660" w:right="8260"/>
        <w:spacing w:after="0" w:line="281" w:lineRule="auto"/>
        <w:rPr>
          <w:rFonts w:ascii="Arial" w:cs="Arial" w:eastAsia="Arial" w:hAnsi="Arial"/>
          <w:sz w:val="22"/>
          <w:szCs w:val="22"/>
          <w:color w:val="auto"/>
        </w:rPr>
      </w:pPr>
      <w:r>
        <w:rPr>
          <w:rFonts w:ascii="Arial" w:cs="Arial" w:eastAsia="Arial" w:hAnsi="Arial"/>
          <w:sz w:val="22"/>
          <w:szCs w:val="22"/>
          <w:color w:val="auto"/>
        </w:rPr>
        <w:t>c/o Northern Trust Company PO Box 92395</w:t>
      </w:r>
    </w:p>
    <w:p>
      <w:pPr>
        <w:spacing w:after="0" w:line="1" w:lineRule="exact"/>
        <w:rPr>
          <w:rFonts w:ascii="Arial" w:cs="Arial" w:eastAsia="Arial" w:hAnsi="Arial"/>
          <w:sz w:val="22"/>
          <w:szCs w:val="22"/>
          <w:color w:val="auto"/>
        </w:rPr>
      </w:pPr>
    </w:p>
    <w:p>
      <w:pPr>
        <w:jc w:val="both"/>
        <w:ind w:left="660" w:right="8520"/>
        <w:spacing w:after="0" w:line="326" w:lineRule="auto"/>
        <w:rPr>
          <w:rFonts w:ascii="Arial" w:cs="Arial" w:eastAsia="Arial" w:hAnsi="Arial"/>
          <w:sz w:val="22"/>
          <w:szCs w:val="22"/>
          <w:color w:val="auto"/>
        </w:rPr>
      </w:pPr>
      <w:r>
        <w:rPr>
          <w:rFonts w:ascii="Arial" w:cs="Arial" w:eastAsia="Arial" w:hAnsi="Arial"/>
          <w:sz w:val="19"/>
          <w:szCs w:val="19"/>
          <w:color w:val="auto"/>
        </w:rPr>
        <w:t>Chicago, IL 60675-92395 Attn: Income Collections</w:t>
      </w:r>
    </w:p>
    <w:p>
      <w:pPr>
        <w:ind w:left="660"/>
        <w:spacing w:after="0"/>
        <w:rPr>
          <w:rFonts w:ascii="Arial" w:cs="Arial" w:eastAsia="Arial" w:hAnsi="Arial"/>
          <w:sz w:val="22"/>
          <w:szCs w:val="22"/>
          <w:color w:val="auto"/>
        </w:rPr>
      </w:pPr>
      <w:r>
        <w:rPr>
          <w:rFonts w:ascii="Arial" w:cs="Arial" w:eastAsia="Arial" w:hAnsi="Arial"/>
          <w:sz w:val="22"/>
          <w:szCs w:val="22"/>
          <w:color w:val="auto"/>
        </w:rPr>
        <w:t>Please include the cusip and shares/par for the dividend/interest payment</w:t>
      </w:r>
    </w:p>
    <w:p>
      <w:pPr>
        <w:spacing w:after="0" w:line="287" w:lineRule="exact"/>
        <w:rPr>
          <w:rFonts w:ascii="Arial" w:cs="Arial" w:eastAsia="Arial" w:hAnsi="Arial"/>
          <w:sz w:val="22"/>
          <w:szCs w:val="22"/>
          <w:color w:val="auto"/>
        </w:rPr>
      </w:pPr>
    </w:p>
    <w:p>
      <w:pPr>
        <w:ind w:left="660" w:hanging="652"/>
        <w:spacing w:after="0"/>
        <w:tabs>
          <w:tab w:leader="none" w:pos="6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Address for all other communications:</w:t>
      </w:r>
    </w:p>
    <w:p>
      <w:pPr>
        <w:spacing w:after="0" w:line="28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Donna Baggerly</w:t>
      </w:r>
    </w:p>
    <w:p>
      <w:pPr>
        <w:spacing w:after="0" w:line="44" w:lineRule="exact"/>
        <w:rPr>
          <w:rFonts w:ascii="Arial" w:cs="Arial" w:eastAsia="Arial" w:hAnsi="Arial"/>
          <w:sz w:val="22"/>
          <w:szCs w:val="22"/>
          <w:color w:val="auto"/>
        </w:rPr>
      </w:pPr>
    </w:p>
    <w:p>
      <w:pPr>
        <w:ind w:left="660" w:right="8460"/>
        <w:spacing w:after="0" w:line="387" w:lineRule="auto"/>
        <w:rPr>
          <w:rFonts w:ascii="Arial" w:cs="Arial" w:eastAsia="Arial" w:hAnsi="Arial"/>
          <w:sz w:val="22"/>
          <w:szCs w:val="22"/>
          <w:color w:val="auto"/>
        </w:rPr>
      </w:pPr>
      <w:r>
        <w:rPr>
          <w:rFonts w:ascii="Arial" w:cs="Arial" w:eastAsia="Arial" w:hAnsi="Arial"/>
          <w:sz w:val="19"/>
          <w:szCs w:val="19"/>
          <w:color w:val="auto"/>
        </w:rPr>
        <w:t>VP Insurance Portfolios 9800 Fredericksburg Road</w:t>
      </w:r>
    </w:p>
    <w:p>
      <w:pPr>
        <w:sectPr>
          <w:pgSz w:w="11900" w:h="16838" w:orient="portrait"/>
          <w:cols w:equalWidth="0" w:num="1">
            <w:col w:w="11420"/>
          </w:cols>
          <w:pgMar w:left="240" w:top="1293" w:right="239" w:bottom="1440" w:gutter="0" w:footer="0" w:header="0"/>
          <w:type w:val="continuous"/>
        </w:sectPr>
      </w:pPr>
    </w:p>
    <w:bookmarkStart w:id="214" w:name="page215"/>
    <w:bookmarkEnd w:id="214"/>
    <w:p>
      <w:pPr>
        <w:ind w:left="652"/>
        <w:spacing w:after="0"/>
        <w:rPr>
          <w:sz w:val="20"/>
          <w:szCs w:val="20"/>
          <w:color w:val="auto"/>
        </w:rPr>
      </w:pPr>
      <w:r>
        <w:rPr>
          <w:rFonts w:ascii="Arial" w:cs="Arial" w:eastAsia="Arial" w:hAnsi="Arial"/>
          <w:sz w:val="22"/>
          <w:szCs w:val="22"/>
          <w:color w:val="auto"/>
        </w:rPr>
        <w:t>San Antonio, TX 78288</w:t>
      </w:r>
    </w:p>
    <w:p>
      <w:pPr>
        <w:spacing w:after="0" w:line="4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(210) 498-5195</w:t>
      </w:r>
    </w:p>
    <w:p>
      <w:pPr>
        <w:spacing w:after="0" w:line="287" w:lineRule="exact"/>
        <w:rPr>
          <w:sz w:val="20"/>
          <w:szCs w:val="20"/>
          <w:color w:val="auto"/>
        </w:rPr>
      </w:pPr>
    </w:p>
    <w:p>
      <w:pPr>
        <w:ind w:left="652" w:hanging="652"/>
        <w:spacing w:after="0"/>
        <w:tabs>
          <w:tab w:leader="none" w:pos="652" w:val="left"/>
        </w:tabs>
        <w:numPr>
          <w:ilvl w:val="0"/>
          <w:numId w:val="153"/>
        </w:numPr>
        <w:rPr>
          <w:rFonts w:ascii="Arial" w:cs="Arial" w:eastAsia="Arial" w:hAnsi="Arial"/>
          <w:sz w:val="19"/>
          <w:szCs w:val="19"/>
          <w:color w:val="auto"/>
        </w:rPr>
      </w:pPr>
      <w:r>
        <w:rPr>
          <w:rFonts w:ascii="Arial" w:cs="Arial" w:eastAsia="Arial" w:hAnsi="Arial"/>
          <w:sz w:val="19"/>
          <w:szCs w:val="19"/>
          <w:color w:val="auto"/>
        </w:rPr>
        <w:t>Name of Nominee in which Notes are to be issued: ELL &amp; CO.</w:t>
      </w:r>
    </w:p>
    <w:p>
      <w:pPr>
        <w:spacing w:after="0" w:line="321" w:lineRule="exact"/>
        <w:rPr>
          <w:rFonts w:ascii="Arial" w:cs="Arial" w:eastAsia="Arial" w:hAnsi="Arial"/>
          <w:sz w:val="19"/>
          <w:szCs w:val="19"/>
          <w:color w:val="auto"/>
        </w:rPr>
      </w:pPr>
    </w:p>
    <w:p>
      <w:pPr>
        <w:ind w:left="652" w:hanging="652"/>
        <w:spacing w:after="0"/>
        <w:tabs>
          <w:tab w:leader="none" w:pos="652"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Tax Identification Number: 74-1718283</w:t>
      </w:r>
    </w:p>
    <w:p>
      <w:pPr>
        <w:spacing w:after="0" w:line="287" w:lineRule="exact"/>
        <w:rPr>
          <w:rFonts w:ascii="Arial" w:cs="Arial" w:eastAsia="Arial" w:hAnsi="Arial"/>
          <w:sz w:val="22"/>
          <w:szCs w:val="22"/>
          <w:color w:val="auto"/>
        </w:rPr>
      </w:pPr>
    </w:p>
    <w:p>
      <w:pPr>
        <w:ind w:left="652" w:hanging="652"/>
        <w:spacing w:after="0"/>
        <w:tabs>
          <w:tab w:leader="none" w:pos="652" w:val="left"/>
        </w:tabs>
        <w:numPr>
          <w:ilvl w:val="0"/>
          <w:numId w:val="153"/>
        </w:numPr>
        <w:rPr>
          <w:rFonts w:ascii="Arial" w:cs="Arial" w:eastAsia="Arial" w:hAnsi="Arial"/>
          <w:sz w:val="22"/>
          <w:szCs w:val="22"/>
          <w:color w:val="auto"/>
        </w:rPr>
      </w:pPr>
      <w:r>
        <w:rPr>
          <w:rFonts w:ascii="Arial" w:cs="Arial" w:eastAsia="Arial" w:hAnsi="Arial"/>
          <w:sz w:val="22"/>
          <w:szCs w:val="22"/>
          <w:i w:val="1"/>
          <w:iCs w:val="1"/>
          <w:color w:val="auto"/>
        </w:rPr>
        <w:t>Physical Delivery of Notes:</w:t>
      </w:r>
    </w:p>
    <w:p>
      <w:pPr>
        <w:spacing w:after="0" w:line="287" w:lineRule="exact"/>
        <w:rPr>
          <w:rFonts w:ascii="Arial" w:cs="Arial" w:eastAsia="Arial" w:hAnsi="Arial"/>
          <w:sz w:val="22"/>
          <w:szCs w:val="22"/>
          <w:color w:val="auto"/>
        </w:rPr>
      </w:pPr>
    </w:p>
    <w:p>
      <w:pPr>
        <w:ind w:left="652" w:right="5919"/>
        <w:spacing w:after="0" w:line="281" w:lineRule="auto"/>
        <w:rPr>
          <w:rFonts w:ascii="Arial" w:cs="Arial" w:eastAsia="Arial" w:hAnsi="Arial"/>
          <w:sz w:val="22"/>
          <w:szCs w:val="22"/>
          <w:color w:val="auto"/>
        </w:rPr>
      </w:pPr>
      <w:r>
        <w:rPr>
          <w:rFonts w:ascii="Arial" w:cs="Arial" w:eastAsia="Arial" w:hAnsi="Arial"/>
          <w:sz w:val="22"/>
          <w:szCs w:val="22"/>
          <w:i w:val="1"/>
          <w:iCs w:val="1"/>
          <w:color w:val="auto"/>
        </w:rPr>
        <w:t>Depositary Trust &amp; Clearing Corporation Newport Office Center</w:t>
      </w:r>
    </w:p>
    <w:p>
      <w:pPr>
        <w:spacing w:after="0" w:line="1" w:lineRule="exact"/>
        <w:rPr>
          <w:rFonts w:ascii="Arial" w:cs="Arial" w:eastAsia="Arial" w:hAnsi="Arial"/>
          <w:sz w:val="22"/>
          <w:szCs w:val="22"/>
          <w:color w:val="auto"/>
        </w:rPr>
      </w:pPr>
    </w:p>
    <w:p>
      <w:pPr>
        <w:ind w:left="652" w:right="7659"/>
        <w:spacing w:after="0" w:line="281" w:lineRule="auto"/>
        <w:rPr>
          <w:rFonts w:ascii="Arial" w:cs="Arial" w:eastAsia="Arial" w:hAnsi="Arial"/>
          <w:sz w:val="22"/>
          <w:szCs w:val="22"/>
          <w:color w:val="auto"/>
        </w:rPr>
      </w:pPr>
      <w:r>
        <w:rPr>
          <w:rFonts w:ascii="Arial" w:cs="Arial" w:eastAsia="Arial" w:hAnsi="Arial"/>
          <w:sz w:val="22"/>
          <w:szCs w:val="22"/>
          <w:i w:val="1"/>
          <w:iCs w:val="1"/>
          <w:color w:val="auto"/>
        </w:rPr>
        <w:t>570 Washington Blvd. 5th Floor</w:t>
      </w:r>
    </w:p>
    <w:p>
      <w:pPr>
        <w:spacing w:after="0" w:line="1"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Jersey City, NJ 07310</w:t>
      </w:r>
    </w:p>
    <w:p>
      <w:pPr>
        <w:spacing w:after="0" w:line="44"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Attn: Tanya Stackhouse-Bowen or Robert Mendez</w:t>
      </w:r>
    </w:p>
    <w:p>
      <w:pPr>
        <w:spacing w:after="0" w:line="44" w:lineRule="exact"/>
        <w:rPr>
          <w:rFonts w:ascii="Arial" w:cs="Arial" w:eastAsia="Arial" w:hAnsi="Arial"/>
          <w:sz w:val="22"/>
          <w:szCs w:val="22"/>
          <w:color w:val="auto"/>
        </w:rPr>
      </w:pPr>
    </w:p>
    <w:p>
      <w:pPr>
        <w:ind w:left="652" w:right="5059"/>
        <w:spacing w:after="0" w:line="302" w:lineRule="auto"/>
        <w:rPr>
          <w:rFonts w:ascii="Arial" w:cs="Arial" w:eastAsia="Arial" w:hAnsi="Arial"/>
          <w:sz w:val="22"/>
          <w:szCs w:val="22"/>
          <w:color w:val="auto"/>
        </w:rPr>
      </w:pPr>
      <w:r>
        <w:rPr>
          <w:rFonts w:ascii="Arial" w:cs="Arial" w:eastAsia="Arial" w:hAnsi="Arial"/>
          <w:sz w:val="22"/>
          <w:szCs w:val="22"/>
          <w:i w:val="1"/>
          <w:iCs w:val="1"/>
          <w:color w:val="auto"/>
        </w:rPr>
        <w:t>Reference: Northern Trust Account # 26-11039/GIC 212-855-2484</w:t>
      </w:r>
    </w:p>
    <w:p>
      <w:pPr>
        <w:sectPr>
          <w:pgSz w:w="11900" w:h="16838" w:orient="portrait"/>
          <w:cols w:equalWidth="0" w:num="1">
            <w:col w:w="10211"/>
          </w:cols>
          <w:pgMar w:left="248" w:top="686" w:right="1440" w:bottom="1440" w:gutter="0" w:footer="0" w:header="0"/>
        </w:sectPr>
      </w:pPr>
    </w:p>
    <w:bookmarkStart w:id="215" w:name="page216"/>
    <w:bookmarkEnd w:id="215"/>
    <w:p>
      <w:pPr>
        <w:ind w:left="40"/>
        <w:spacing w:after="0"/>
        <w:rPr>
          <w:sz w:val="20"/>
          <w:szCs w:val="20"/>
          <w:color w:val="auto"/>
        </w:rPr>
      </w:pPr>
      <w:r>
        <w:rPr>
          <w:rFonts w:ascii="Arial" w:cs="Arial" w:eastAsia="Arial" w:hAnsi="Arial"/>
          <w:sz w:val="19"/>
          <w:szCs w:val="19"/>
          <w:color w:val="auto"/>
        </w:rPr>
        <w:t>Name and Address of Purchaser</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21"/>
          <w:szCs w:val="21"/>
          <w:color w:val="auto"/>
        </w:rPr>
        <w:t>Principal Amount of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Notes to be Purchased</w:t>
      </w:r>
    </w:p>
    <w:p>
      <w:pPr>
        <w:spacing w:after="0" w:line="200" w:lineRule="exact"/>
        <w:rPr>
          <w:sz w:val="20"/>
          <w:szCs w:val="20"/>
          <w:color w:val="auto"/>
        </w:rPr>
      </w:pPr>
    </w:p>
    <w:p>
      <w:pPr>
        <w:sectPr>
          <w:pgSz w:w="11900" w:h="16838" w:orient="portrait"/>
          <w:cols w:equalWidth="0" w:num="2">
            <w:col w:w="7280" w:space="720"/>
            <w:col w:w="3420"/>
          </w:cols>
          <w:pgMar w:left="240" w:top="1293" w:right="239" w:bottom="1440" w:gutter="0" w:footer="0" w:header="0"/>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GARRISON PROPERTY &amp; CASUALTY INSURANCE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Series 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$5,000,000</w:t>
      </w:r>
    </w:p>
    <w:p>
      <w:pPr>
        <w:spacing w:after="0" w:line="60" w:lineRule="exact"/>
        <w:rPr>
          <w:sz w:val="20"/>
          <w:szCs w:val="20"/>
          <w:color w:val="auto"/>
        </w:rPr>
      </w:pPr>
    </w:p>
    <w:p>
      <w:pPr>
        <w:sectPr>
          <w:pgSz w:w="11900" w:h="16838" w:orient="portrait"/>
          <w:cols w:equalWidth="0" w:num="3">
            <w:col w:w="6460" w:space="720"/>
            <w:col w:w="1600" w:space="720"/>
            <w:col w:w="1920"/>
          </w:cols>
          <w:pgMar w:left="240" w:top="1293" w:right="239" w:bottom="1440" w:gutter="0" w:footer="0" w:header="0"/>
          <w:type w:val="continuous"/>
        </w:sectPr>
      </w:pPr>
    </w:p>
    <w:p>
      <w:pPr>
        <w:ind w:left="140"/>
        <w:spacing w:after="0"/>
        <w:rPr>
          <w:sz w:val="20"/>
          <w:szCs w:val="20"/>
          <w:color w:val="auto"/>
        </w:rPr>
      </w:pPr>
      <w:r>
        <w:rPr>
          <w:rFonts w:ascii="Arial" w:cs="Arial" w:eastAsia="Arial" w:hAnsi="Arial"/>
          <w:sz w:val="22"/>
          <w:szCs w:val="22"/>
          <w:b w:val="1"/>
          <w:bCs w:val="1"/>
          <w:color w:val="auto"/>
        </w:rPr>
        <w:t>COMPANY</w:t>
      </w:r>
    </w:p>
    <w:p>
      <w:pPr>
        <w:ind w:left="40"/>
        <w:spacing w:after="0"/>
        <w:rPr>
          <w:sz w:val="20"/>
          <w:szCs w:val="20"/>
          <w:color w:val="auto"/>
        </w:rPr>
      </w:pPr>
      <w:r>
        <w:rPr>
          <w:rFonts w:ascii="Arial" w:cs="Arial" w:eastAsia="Arial" w:hAnsi="Arial"/>
          <w:sz w:val="19"/>
          <w:szCs w:val="19"/>
          <w:color w:val="auto"/>
        </w:rPr>
        <w:t>9800 Fredericksburg Road</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Antonio, TX 78288</w:t>
      </w:r>
    </w:p>
    <w:p>
      <w:pPr>
        <w:sectPr>
          <w:pgSz w:w="11900" w:h="16838" w:orient="portrait"/>
          <w:cols w:equalWidth="0" w:num="1">
            <w:col w:w="11420"/>
          </w:cols>
          <w:pgMar w:left="240" w:top="1293" w:right="2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Payments</w:t>
      </w:r>
    </w:p>
    <w:p>
      <w:pPr>
        <w:spacing w:after="0" w:line="287" w:lineRule="exact"/>
        <w:rPr>
          <w:sz w:val="20"/>
          <w:szCs w:val="20"/>
          <w:color w:val="auto"/>
        </w:rPr>
      </w:pPr>
    </w:p>
    <w:p>
      <w:pPr>
        <w:ind w:left="660" w:hanging="652"/>
        <w:spacing w:after="0" w:line="302" w:lineRule="auto"/>
        <w:tabs>
          <w:tab w:leader="none" w:pos="6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All payments on account of Notes held by such purchaser shall be made by wire transfer of immediately available funds for credit to:</w:t>
      </w:r>
    </w:p>
    <w:p>
      <w:pPr>
        <w:spacing w:after="0" w:line="200" w:lineRule="exact"/>
        <w:rPr>
          <w:rFonts w:ascii="Arial" w:cs="Arial" w:eastAsia="Arial" w:hAnsi="Arial"/>
          <w:sz w:val="22"/>
          <w:szCs w:val="22"/>
          <w:color w:val="auto"/>
        </w:rPr>
      </w:pPr>
    </w:p>
    <w:p>
      <w:pPr>
        <w:ind w:left="660" w:right="8960"/>
        <w:spacing w:after="0" w:line="326" w:lineRule="auto"/>
        <w:rPr>
          <w:rFonts w:ascii="Arial" w:cs="Arial" w:eastAsia="Arial" w:hAnsi="Arial"/>
          <w:sz w:val="22"/>
          <w:szCs w:val="22"/>
          <w:color w:val="auto"/>
        </w:rPr>
      </w:pPr>
      <w:r>
        <w:rPr>
          <w:rFonts w:ascii="Arial" w:cs="Arial" w:eastAsia="Arial" w:hAnsi="Arial"/>
          <w:sz w:val="19"/>
          <w:szCs w:val="19"/>
          <w:color w:val="auto"/>
        </w:rPr>
        <w:t>Northern Chgo/Trust ABA#071000152</w:t>
      </w:r>
    </w:p>
    <w:p>
      <w:pPr>
        <w:ind w:left="660" w:right="7660"/>
        <w:spacing w:after="0" w:line="281" w:lineRule="auto"/>
        <w:rPr>
          <w:rFonts w:ascii="Arial" w:cs="Arial" w:eastAsia="Arial" w:hAnsi="Arial"/>
          <w:sz w:val="22"/>
          <w:szCs w:val="22"/>
          <w:color w:val="auto"/>
        </w:rPr>
      </w:pPr>
      <w:r>
        <w:rPr>
          <w:rFonts w:ascii="Arial" w:cs="Arial" w:eastAsia="Arial" w:hAnsi="Arial"/>
          <w:sz w:val="22"/>
          <w:szCs w:val="22"/>
          <w:color w:val="auto"/>
        </w:rPr>
        <w:t>Credit Wire Account # 5186061000 26-11041/GPC</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PPN # 02401@ AA7</w:t>
      </w:r>
    </w:p>
    <w:p>
      <w:pPr>
        <w:spacing w:after="0" w:line="287" w:lineRule="exact"/>
        <w:rPr>
          <w:rFonts w:ascii="Arial" w:cs="Arial" w:eastAsia="Arial" w:hAnsi="Arial"/>
          <w:sz w:val="22"/>
          <w:szCs w:val="22"/>
          <w:color w:val="auto"/>
        </w:rPr>
      </w:pPr>
    </w:p>
    <w:p>
      <w:pPr>
        <w:ind w:left="660"/>
        <w:spacing w:after="0" w:line="328" w:lineRule="auto"/>
        <w:rPr>
          <w:rFonts w:ascii="Arial" w:cs="Arial" w:eastAsia="Arial" w:hAnsi="Arial"/>
          <w:sz w:val="22"/>
          <w:szCs w:val="22"/>
          <w:color w:val="auto"/>
        </w:rPr>
      </w:pPr>
      <w:r>
        <w:rPr>
          <w:rFonts w:ascii="Arial" w:cs="Arial" w:eastAsia="Arial" w:hAnsi="Arial"/>
          <w:sz w:val="21"/>
          <w:szCs w:val="21"/>
          <w:color w:val="auto"/>
        </w:rPr>
        <w:t>With sufficient information to identify the source and application of such funds, including the issuer name, the PPN of the issue, interest rate, payment due date, maturity date, interest amount, principal and premium amount.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Notices</w:t>
      </w:r>
    </w:p>
    <w:p>
      <w:pPr>
        <w:spacing w:after="0" w:line="287"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Address for notices relating to payments:</w:t>
      </w:r>
    </w:p>
    <w:p>
      <w:pPr>
        <w:spacing w:after="0" w:line="28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Ell &amp; Co</w:t>
      </w:r>
    </w:p>
    <w:p>
      <w:pPr>
        <w:spacing w:after="0" w:line="44" w:lineRule="exact"/>
        <w:rPr>
          <w:rFonts w:ascii="Arial" w:cs="Arial" w:eastAsia="Arial" w:hAnsi="Arial"/>
          <w:sz w:val="22"/>
          <w:szCs w:val="22"/>
          <w:color w:val="auto"/>
        </w:rPr>
      </w:pPr>
    </w:p>
    <w:p>
      <w:pPr>
        <w:ind w:left="660" w:right="8260"/>
        <w:spacing w:after="0" w:line="281" w:lineRule="auto"/>
        <w:rPr>
          <w:rFonts w:ascii="Arial" w:cs="Arial" w:eastAsia="Arial" w:hAnsi="Arial"/>
          <w:sz w:val="22"/>
          <w:szCs w:val="22"/>
          <w:color w:val="auto"/>
        </w:rPr>
      </w:pPr>
      <w:r>
        <w:rPr>
          <w:rFonts w:ascii="Arial" w:cs="Arial" w:eastAsia="Arial" w:hAnsi="Arial"/>
          <w:sz w:val="22"/>
          <w:szCs w:val="22"/>
          <w:color w:val="auto"/>
        </w:rPr>
        <w:t>c/o Northern Trust Company PO Box 92395</w:t>
      </w:r>
    </w:p>
    <w:p>
      <w:pPr>
        <w:spacing w:after="0" w:line="1" w:lineRule="exact"/>
        <w:rPr>
          <w:rFonts w:ascii="Arial" w:cs="Arial" w:eastAsia="Arial" w:hAnsi="Arial"/>
          <w:sz w:val="22"/>
          <w:szCs w:val="22"/>
          <w:color w:val="auto"/>
        </w:rPr>
      </w:pPr>
    </w:p>
    <w:p>
      <w:pPr>
        <w:jc w:val="both"/>
        <w:ind w:left="660" w:right="8520"/>
        <w:spacing w:after="0" w:line="326" w:lineRule="auto"/>
        <w:rPr>
          <w:rFonts w:ascii="Arial" w:cs="Arial" w:eastAsia="Arial" w:hAnsi="Arial"/>
          <w:sz w:val="22"/>
          <w:szCs w:val="22"/>
          <w:color w:val="auto"/>
        </w:rPr>
      </w:pPr>
      <w:r>
        <w:rPr>
          <w:rFonts w:ascii="Arial" w:cs="Arial" w:eastAsia="Arial" w:hAnsi="Arial"/>
          <w:sz w:val="19"/>
          <w:szCs w:val="19"/>
          <w:color w:val="auto"/>
        </w:rPr>
        <w:t>Chicago, IL 60675-92395 Attn: Income Collections</w:t>
      </w:r>
    </w:p>
    <w:p>
      <w:pPr>
        <w:ind w:left="660"/>
        <w:spacing w:after="0"/>
        <w:rPr>
          <w:rFonts w:ascii="Arial" w:cs="Arial" w:eastAsia="Arial" w:hAnsi="Arial"/>
          <w:sz w:val="22"/>
          <w:szCs w:val="22"/>
          <w:color w:val="auto"/>
        </w:rPr>
      </w:pPr>
      <w:r>
        <w:rPr>
          <w:rFonts w:ascii="Arial" w:cs="Arial" w:eastAsia="Arial" w:hAnsi="Arial"/>
          <w:sz w:val="22"/>
          <w:szCs w:val="22"/>
          <w:color w:val="auto"/>
        </w:rPr>
        <w:t>Please include the cusip and shares/par for the dividend/interest payment</w:t>
      </w:r>
    </w:p>
    <w:p>
      <w:pPr>
        <w:spacing w:after="0" w:line="287" w:lineRule="exact"/>
        <w:rPr>
          <w:rFonts w:ascii="Arial" w:cs="Arial" w:eastAsia="Arial" w:hAnsi="Arial"/>
          <w:sz w:val="22"/>
          <w:szCs w:val="22"/>
          <w:color w:val="auto"/>
        </w:rPr>
      </w:pPr>
    </w:p>
    <w:p>
      <w:pPr>
        <w:ind w:left="660" w:right="7440" w:hanging="652"/>
        <w:spacing w:after="0" w:line="532" w:lineRule="auto"/>
        <w:tabs>
          <w:tab w:leader="none" w:pos="6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Address for all other communications: Donna Baggerly</w:t>
      </w:r>
    </w:p>
    <w:p>
      <w:pPr>
        <w:sectPr>
          <w:pgSz w:w="11900" w:h="16838" w:orient="portrait"/>
          <w:cols w:equalWidth="0" w:num="1">
            <w:col w:w="11420"/>
          </w:cols>
          <w:pgMar w:left="240" w:top="1293" w:right="239" w:bottom="1440" w:gutter="0" w:footer="0" w:header="0"/>
          <w:type w:val="continuous"/>
        </w:sectPr>
      </w:pPr>
    </w:p>
    <w:bookmarkStart w:id="216" w:name="page217"/>
    <w:bookmarkEnd w:id="216"/>
    <w:p>
      <w:pPr>
        <w:ind w:left="652"/>
        <w:spacing w:after="0"/>
        <w:rPr>
          <w:sz w:val="20"/>
          <w:szCs w:val="20"/>
          <w:color w:val="auto"/>
        </w:rPr>
      </w:pPr>
      <w:r>
        <w:rPr>
          <w:rFonts w:ascii="Arial" w:cs="Arial" w:eastAsia="Arial" w:hAnsi="Arial"/>
          <w:sz w:val="22"/>
          <w:szCs w:val="22"/>
          <w:color w:val="auto"/>
        </w:rPr>
        <w:t>VP Insurance Portfolios</w:t>
      </w:r>
    </w:p>
    <w:p>
      <w:pPr>
        <w:spacing w:after="0" w:line="4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9800 Fredericksburg Road</w:t>
      </w:r>
    </w:p>
    <w:p>
      <w:pPr>
        <w:spacing w:after="0" w:line="4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San Antonio, TX 78288</w:t>
      </w:r>
    </w:p>
    <w:p>
      <w:pPr>
        <w:spacing w:after="0" w:line="4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(210) 498-5195</w:t>
      </w:r>
    </w:p>
    <w:p>
      <w:pPr>
        <w:spacing w:after="0" w:line="287" w:lineRule="exact"/>
        <w:rPr>
          <w:sz w:val="20"/>
          <w:szCs w:val="20"/>
          <w:color w:val="auto"/>
        </w:rPr>
      </w:pPr>
    </w:p>
    <w:p>
      <w:pPr>
        <w:ind w:left="652" w:hanging="652"/>
        <w:spacing w:after="0"/>
        <w:tabs>
          <w:tab w:leader="none" w:pos="652" w:val="left"/>
        </w:tabs>
        <w:numPr>
          <w:ilvl w:val="0"/>
          <w:numId w:val="156"/>
        </w:numPr>
        <w:rPr>
          <w:rFonts w:ascii="Arial" w:cs="Arial" w:eastAsia="Arial" w:hAnsi="Arial"/>
          <w:sz w:val="19"/>
          <w:szCs w:val="19"/>
          <w:color w:val="auto"/>
        </w:rPr>
      </w:pPr>
      <w:r>
        <w:rPr>
          <w:rFonts w:ascii="Arial" w:cs="Arial" w:eastAsia="Arial" w:hAnsi="Arial"/>
          <w:sz w:val="19"/>
          <w:szCs w:val="19"/>
          <w:color w:val="auto"/>
        </w:rPr>
        <w:t>Name of Nominee in which Notes are to be issued: ELL &amp; CO.</w:t>
      </w:r>
    </w:p>
    <w:p>
      <w:pPr>
        <w:spacing w:after="0" w:line="321" w:lineRule="exact"/>
        <w:rPr>
          <w:rFonts w:ascii="Arial" w:cs="Arial" w:eastAsia="Arial" w:hAnsi="Arial"/>
          <w:sz w:val="19"/>
          <w:szCs w:val="19"/>
          <w:color w:val="auto"/>
        </w:rPr>
      </w:pPr>
    </w:p>
    <w:p>
      <w:pPr>
        <w:ind w:left="652" w:hanging="652"/>
        <w:spacing w:after="0"/>
        <w:tabs>
          <w:tab w:leader="none" w:pos="65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Tax Identification Number: 43-1803614</w:t>
      </w:r>
    </w:p>
    <w:p>
      <w:pPr>
        <w:spacing w:after="0" w:line="287" w:lineRule="exact"/>
        <w:rPr>
          <w:rFonts w:ascii="Arial" w:cs="Arial" w:eastAsia="Arial" w:hAnsi="Arial"/>
          <w:sz w:val="22"/>
          <w:szCs w:val="22"/>
          <w:color w:val="auto"/>
        </w:rPr>
      </w:pPr>
    </w:p>
    <w:p>
      <w:pPr>
        <w:ind w:left="652" w:hanging="652"/>
        <w:spacing w:after="0"/>
        <w:tabs>
          <w:tab w:leader="none" w:pos="652" w:val="left"/>
        </w:tabs>
        <w:numPr>
          <w:ilvl w:val="0"/>
          <w:numId w:val="156"/>
        </w:numPr>
        <w:rPr>
          <w:rFonts w:ascii="Arial" w:cs="Arial" w:eastAsia="Arial" w:hAnsi="Arial"/>
          <w:sz w:val="22"/>
          <w:szCs w:val="22"/>
          <w:color w:val="auto"/>
        </w:rPr>
      </w:pPr>
      <w:r>
        <w:rPr>
          <w:rFonts w:ascii="Arial" w:cs="Arial" w:eastAsia="Arial" w:hAnsi="Arial"/>
          <w:sz w:val="22"/>
          <w:szCs w:val="22"/>
          <w:i w:val="1"/>
          <w:iCs w:val="1"/>
          <w:color w:val="auto"/>
        </w:rPr>
        <w:t>Physical Delivery of Notes:</w:t>
      </w:r>
    </w:p>
    <w:p>
      <w:pPr>
        <w:spacing w:after="0" w:line="287" w:lineRule="exact"/>
        <w:rPr>
          <w:rFonts w:ascii="Arial" w:cs="Arial" w:eastAsia="Arial" w:hAnsi="Arial"/>
          <w:sz w:val="22"/>
          <w:szCs w:val="22"/>
          <w:color w:val="auto"/>
        </w:rPr>
      </w:pPr>
    </w:p>
    <w:p>
      <w:pPr>
        <w:ind w:left="652" w:right="5919"/>
        <w:spacing w:after="0" w:line="281" w:lineRule="auto"/>
        <w:rPr>
          <w:rFonts w:ascii="Arial" w:cs="Arial" w:eastAsia="Arial" w:hAnsi="Arial"/>
          <w:sz w:val="22"/>
          <w:szCs w:val="22"/>
          <w:color w:val="auto"/>
        </w:rPr>
      </w:pPr>
      <w:r>
        <w:rPr>
          <w:rFonts w:ascii="Arial" w:cs="Arial" w:eastAsia="Arial" w:hAnsi="Arial"/>
          <w:sz w:val="22"/>
          <w:szCs w:val="22"/>
          <w:i w:val="1"/>
          <w:iCs w:val="1"/>
          <w:color w:val="auto"/>
        </w:rPr>
        <w:t>Depositary Trust &amp; Clearing Corporation Newport Office Center</w:t>
      </w:r>
    </w:p>
    <w:p>
      <w:pPr>
        <w:spacing w:after="0" w:line="1" w:lineRule="exact"/>
        <w:rPr>
          <w:rFonts w:ascii="Arial" w:cs="Arial" w:eastAsia="Arial" w:hAnsi="Arial"/>
          <w:sz w:val="22"/>
          <w:szCs w:val="22"/>
          <w:color w:val="auto"/>
        </w:rPr>
      </w:pPr>
    </w:p>
    <w:p>
      <w:pPr>
        <w:ind w:left="652" w:right="7659"/>
        <w:spacing w:after="0" w:line="281" w:lineRule="auto"/>
        <w:rPr>
          <w:rFonts w:ascii="Arial" w:cs="Arial" w:eastAsia="Arial" w:hAnsi="Arial"/>
          <w:sz w:val="22"/>
          <w:szCs w:val="22"/>
          <w:color w:val="auto"/>
        </w:rPr>
      </w:pPr>
      <w:r>
        <w:rPr>
          <w:rFonts w:ascii="Arial" w:cs="Arial" w:eastAsia="Arial" w:hAnsi="Arial"/>
          <w:sz w:val="22"/>
          <w:szCs w:val="22"/>
          <w:i w:val="1"/>
          <w:iCs w:val="1"/>
          <w:color w:val="auto"/>
        </w:rPr>
        <w:t>570 Washington Blvd. 5th Floor</w:t>
      </w:r>
    </w:p>
    <w:p>
      <w:pPr>
        <w:spacing w:after="0" w:line="1"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Jersey City, NJ 07310</w:t>
      </w:r>
    </w:p>
    <w:p>
      <w:pPr>
        <w:spacing w:after="0" w:line="44"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i w:val="1"/>
          <w:iCs w:val="1"/>
          <w:color w:val="auto"/>
        </w:rPr>
        <w:t>Attn: Tanya Stackhouse-Bowen or Robert Mendez</w:t>
      </w:r>
    </w:p>
    <w:p>
      <w:pPr>
        <w:spacing w:after="0" w:line="44" w:lineRule="exact"/>
        <w:rPr>
          <w:rFonts w:ascii="Arial" w:cs="Arial" w:eastAsia="Arial" w:hAnsi="Arial"/>
          <w:sz w:val="22"/>
          <w:szCs w:val="22"/>
          <w:color w:val="auto"/>
        </w:rPr>
      </w:pPr>
    </w:p>
    <w:p>
      <w:pPr>
        <w:ind w:left="652" w:right="4999"/>
        <w:spacing w:after="0" w:line="302" w:lineRule="auto"/>
        <w:rPr>
          <w:rFonts w:ascii="Arial" w:cs="Arial" w:eastAsia="Arial" w:hAnsi="Arial"/>
          <w:sz w:val="22"/>
          <w:szCs w:val="22"/>
          <w:color w:val="auto"/>
        </w:rPr>
      </w:pPr>
      <w:r>
        <w:rPr>
          <w:rFonts w:ascii="Arial" w:cs="Arial" w:eastAsia="Arial" w:hAnsi="Arial"/>
          <w:sz w:val="22"/>
          <w:szCs w:val="22"/>
          <w:i w:val="1"/>
          <w:iCs w:val="1"/>
          <w:color w:val="auto"/>
        </w:rPr>
        <w:t>Reference: Northern Trust Account # 26-11041/GPC 212-855-2484</w:t>
      </w:r>
    </w:p>
    <w:p>
      <w:pPr>
        <w:sectPr>
          <w:pgSz w:w="11900" w:h="16838" w:orient="portrait"/>
          <w:cols w:equalWidth="0" w:num="1">
            <w:col w:w="10211"/>
          </w:cols>
          <w:pgMar w:left="248" w:top="685" w:right="1440"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22"/>
          <w:szCs w:val="22"/>
          <w:b w:val="1"/>
          <w:bCs w:val="1"/>
          <w:color w:val="auto"/>
        </w:rPr>
        <w:t>AFFILIATE GUARANTY</w:t>
      </w:r>
    </w:p>
    <w:p>
      <w:pPr>
        <w:spacing w:after="0" w:line="293"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 xml:space="preserve">THIS AFFILIATE GUARANTY (as amended, modified, restated and/or supplemented from time to time, this </w:t>
      </w:r>
      <w:r>
        <w:rPr>
          <w:rFonts w:ascii="Arial" w:cs="Arial" w:eastAsia="Arial" w:hAnsi="Arial"/>
          <w:sz w:val="19"/>
          <w:szCs w:val="19"/>
          <w:i w:val="1"/>
          <w:iCs w:val="1"/>
          <w:color w:val="auto"/>
        </w:rPr>
        <w:t>“Guaranty”</w:t>
      </w:r>
      <w:r>
        <w:rPr>
          <w:rFonts w:ascii="Arial" w:cs="Arial" w:eastAsia="Arial" w:hAnsi="Arial"/>
          <w:sz w:val="19"/>
          <w:szCs w:val="19"/>
          <w:color w:val="auto"/>
        </w:rPr>
        <w:t>) is executed as of October 31, 2014, by each undersigned Guarantor (each a “</w:t>
      </w:r>
      <w:r>
        <w:rPr>
          <w:rFonts w:ascii="Arial" w:cs="Arial" w:eastAsia="Arial" w:hAnsi="Arial"/>
          <w:sz w:val="19"/>
          <w:szCs w:val="19"/>
          <w:i w:val="1"/>
          <w:iCs w:val="1"/>
          <w:color w:val="auto"/>
        </w:rPr>
        <w:t>Guarantor</w:t>
      </w:r>
      <w:r>
        <w:rPr>
          <w:rFonts w:ascii="Arial" w:cs="Arial" w:eastAsia="Arial" w:hAnsi="Arial"/>
          <w:sz w:val="19"/>
          <w:szCs w:val="19"/>
          <w:color w:val="auto"/>
        </w:rPr>
        <w:t>,” and collectively, the “</w:t>
      </w:r>
      <w:r>
        <w:rPr>
          <w:rFonts w:ascii="Arial" w:cs="Arial" w:eastAsia="Arial" w:hAnsi="Arial"/>
          <w:sz w:val="19"/>
          <w:szCs w:val="19"/>
          <w:i w:val="1"/>
          <w:iCs w:val="1"/>
          <w:color w:val="auto"/>
        </w:rPr>
        <w:t>Guarantors</w:t>
      </w:r>
      <w:r>
        <w:rPr>
          <w:rFonts w:ascii="Arial" w:cs="Arial" w:eastAsia="Arial" w:hAnsi="Arial"/>
          <w:sz w:val="19"/>
          <w:szCs w:val="19"/>
          <w:color w:val="auto"/>
        </w:rPr>
        <w:t xml:space="preserve">”), for the benefit of the Purchasers (as defined below) and the other holders from time to time of the Notes (as defined below). The Purchasers and such other holders are herein collectively referred to as the </w:t>
      </w:r>
      <w:r>
        <w:rPr>
          <w:rFonts w:ascii="Arial" w:cs="Arial" w:eastAsia="Arial" w:hAnsi="Arial"/>
          <w:sz w:val="19"/>
          <w:szCs w:val="19"/>
          <w:i w:val="1"/>
          <w:iCs w:val="1"/>
          <w:color w:val="auto"/>
        </w:rPr>
        <w:t>“Holders”</w:t>
      </w:r>
      <w:r>
        <w:rPr>
          <w:rFonts w:ascii="Arial" w:cs="Arial" w:eastAsia="Arial" w:hAnsi="Arial"/>
          <w:sz w:val="19"/>
          <w:szCs w:val="19"/>
          <w:color w:val="auto"/>
        </w:rPr>
        <w:t xml:space="preserve"> and individually a </w:t>
      </w:r>
      <w:r>
        <w:rPr>
          <w:rFonts w:ascii="Arial" w:cs="Arial" w:eastAsia="Arial" w:hAnsi="Arial"/>
          <w:sz w:val="19"/>
          <w:szCs w:val="19"/>
          <w:i w:val="1"/>
          <w:iCs w:val="1"/>
          <w:color w:val="auto"/>
        </w:rPr>
        <w:t>“Holder.”</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93"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WHEREAS, American Assets Trust, Inc., a Maryland corporation (the “</w:t>
      </w:r>
      <w:r>
        <w:rPr>
          <w:rFonts w:ascii="Arial" w:cs="Arial" w:eastAsia="Arial" w:hAnsi="Arial"/>
          <w:sz w:val="19"/>
          <w:szCs w:val="19"/>
          <w:i w:val="1"/>
          <w:iCs w:val="1"/>
          <w:color w:val="auto"/>
        </w:rPr>
        <w:t>REIT</w:t>
      </w:r>
      <w:r>
        <w:rPr>
          <w:rFonts w:ascii="Arial" w:cs="Arial" w:eastAsia="Arial" w:hAnsi="Arial"/>
          <w:sz w:val="19"/>
          <w:szCs w:val="19"/>
          <w:color w:val="auto"/>
        </w:rPr>
        <w:t xml:space="preserve">”) and American Assets Trust, L.P., a Maryland limited partnership (the </w:t>
      </w:r>
      <w:r>
        <w:rPr>
          <w:rFonts w:ascii="Arial" w:cs="Arial" w:eastAsia="Arial" w:hAnsi="Arial"/>
          <w:sz w:val="19"/>
          <w:szCs w:val="19"/>
          <w:i w:val="1"/>
          <w:iCs w:val="1"/>
          <w:color w:val="auto"/>
        </w:rPr>
        <w:t>“Company</w:t>
      </w:r>
      <w:r>
        <w:rPr>
          <w:rFonts w:ascii="Arial" w:cs="Arial" w:eastAsia="Arial" w:hAnsi="Arial"/>
          <w:sz w:val="19"/>
          <w:szCs w:val="19"/>
          <w:color w:val="auto"/>
        </w:rPr>
        <w:t xml:space="preserve">”), are entering into a Note Purchase Agreement dated as of October 31, 2014 (as amended, modified, supplemented or restated from time to time, the </w:t>
      </w:r>
      <w:r>
        <w:rPr>
          <w:rFonts w:ascii="Arial" w:cs="Arial" w:eastAsia="Arial" w:hAnsi="Arial"/>
          <w:sz w:val="19"/>
          <w:szCs w:val="19"/>
          <w:i w:val="1"/>
          <w:iCs w:val="1"/>
          <w:color w:val="auto"/>
        </w:rPr>
        <w:t>“Note Purchase Agreement”</w:t>
      </w:r>
      <w:r>
        <w:rPr>
          <w:rFonts w:ascii="Arial" w:cs="Arial" w:eastAsia="Arial" w:hAnsi="Arial"/>
          <w:sz w:val="19"/>
          <w:szCs w:val="19"/>
          <w:color w:val="auto"/>
        </w:rPr>
        <w:t xml:space="preserve">) with the Persons listed on the signature pages thereto (the </w:t>
      </w:r>
      <w:r>
        <w:rPr>
          <w:rFonts w:ascii="Arial" w:cs="Arial" w:eastAsia="Arial" w:hAnsi="Arial"/>
          <w:sz w:val="19"/>
          <w:szCs w:val="19"/>
          <w:i w:val="1"/>
          <w:iCs w:val="1"/>
          <w:color w:val="auto"/>
        </w:rPr>
        <w:t>“Purchasers”</w:t>
      </w:r>
      <w:r>
        <w:rPr>
          <w:rFonts w:ascii="Arial" w:cs="Arial" w:eastAsia="Arial" w:hAnsi="Arial"/>
          <w:sz w:val="19"/>
          <w:szCs w:val="19"/>
          <w:color w:val="auto"/>
        </w:rPr>
        <w:t>) simultaneously with the delivery of this Guaranty (this “</w:t>
      </w:r>
      <w:r>
        <w:rPr>
          <w:rFonts w:ascii="Arial" w:cs="Arial" w:eastAsia="Arial" w:hAnsi="Arial"/>
          <w:sz w:val="19"/>
          <w:szCs w:val="19"/>
          <w:i w:val="1"/>
          <w:iCs w:val="1"/>
          <w:color w:val="auto"/>
        </w:rPr>
        <w:t>Guaranty</w:t>
      </w:r>
      <w:r>
        <w:rPr>
          <w:rFonts w:ascii="Arial" w:cs="Arial" w:eastAsia="Arial" w:hAnsi="Arial"/>
          <w:sz w:val="19"/>
          <w:szCs w:val="19"/>
          <w:color w:val="auto"/>
        </w:rPr>
        <w:t xml:space="preserve">”). </w:t>
      </w:r>
      <w:r>
        <w:rPr>
          <w:rFonts w:ascii="Arial" w:cs="Arial" w:eastAsia="Arial" w:hAnsi="Arial"/>
          <w:sz w:val="19"/>
          <w:szCs w:val="19"/>
          <w:i w:val="1"/>
          <w:iCs w:val="1"/>
          <w:color w:val="auto"/>
        </w:rPr>
        <w:t>Capitalized terms</w:t>
      </w:r>
      <w:r>
        <w:rPr>
          <w:rFonts w:ascii="Arial" w:cs="Arial" w:eastAsia="Arial" w:hAnsi="Arial"/>
          <w:sz w:val="19"/>
          <w:szCs w:val="19"/>
          <w:color w:val="auto"/>
        </w:rPr>
        <w:t xml:space="preserve"> </w:t>
      </w:r>
      <w:r>
        <w:rPr>
          <w:rFonts w:ascii="Arial" w:cs="Arial" w:eastAsia="Arial" w:hAnsi="Arial"/>
          <w:sz w:val="19"/>
          <w:szCs w:val="19"/>
          <w:i w:val="1"/>
          <w:iCs w:val="1"/>
          <w:color w:val="auto"/>
        </w:rPr>
        <w:t>used herein shall have the meanings specified in the Note Purchase Agreement unless otherwise defined herein.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Company  has  authorized  the  issuance  and  sale,  pursuant  to  the  Note  Purchase  Agreement  of,</w:t>
      </w:r>
    </w:p>
    <w:p>
      <w:pPr>
        <w:spacing w:after="0" w:line="79" w:lineRule="exact"/>
        <w:rPr>
          <w:sz w:val="20"/>
          <w:szCs w:val="20"/>
          <w:color w:val="auto"/>
        </w:rPr>
      </w:pPr>
    </w:p>
    <w:p>
      <w:pPr>
        <w:jc w:val="both"/>
        <w:ind w:firstLine="8"/>
        <w:spacing w:after="0" w:line="301" w:lineRule="auto"/>
        <w:tabs>
          <w:tab w:leader="none" w:pos="264" w:val="left"/>
        </w:tabs>
        <w:numPr>
          <w:ilvl w:val="0"/>
          <w:numId w:val="157"/>
        </w:numPr>
        <w:rPr>
          <w:rFonts w:ascii="Arial" w:cs="Arial" w:eastAsia="Arial" w:hAnsi="Arial"/>
          <w:sz w:val="21"/>
          <w:szCs w:val="21"/>
          <w:color w:val="auto"/>
        </w:rPr>
      </w:pPr>
      <w:r>
        <w:rPr>
          <w:rFonts w:ascii="Arial" w:cs="Arial" w:eastAsia="Arial" w:hAnsi="Arial"/>
          <w:sz w:val="21"/>
          <w:szCs w:val="21"/>
          <w:color w:val="auto"/>
        </w:rPr>
        <w:t xml:space="preserve">$150,000,000 aggregate principal amount of its 4.04% Senior Guaranteed Notes, Series A, due October 31, 2021 (the </w:t>
      </w:r>
      <w:r>
        <w:rPr>
          <w:rFonts w:ascii="Arial" w:cs="Arial" w:eastAsia="Arial" w:hAnsi="Arial"/>
          <w:sz w:val="21"/>
          <w:szCs w:val="21"/>
          <w:i w:val="1"/>
          <w:iCs w:val="1"/>
          <w:color w:val="auto"/>
        </w:rPr>
        <w:t>“Series A</w:t>
      </w:r>
      <w:r>
        <w:rPr>
          <w:rFonts w:ascii="Arial" w:cs="Arial" w:eastAsia="Arial" w:hAnsi="Arial"/>
          <w:sz w:val="21"/>
          <w:szCs w:val="21"/>
          <w:color w:val="auto"/>
        </w:rPr>
        <w:t xml:space="preserve"> </w:t>
      </w:r>
      <w:r>
        <w:rPr>
          <w:rFonts w:ascii="Arial" w:cs="Arial" w:eastAsia="Arial" w:hAnsi="Arial"/>
          <w:sz w:val="21"/>
          <w:szCs w:val="21"/>
          <w:i w:val="1"/>
          <w:iCs w:val="1"/>
          <w:color w:val="auto"/>
        </w:rPr>
        <w:t>Notes”</w:t>
      </w:r>
      <w:r>
        <w:rPr>
          <w:rFonts w:ascii="Arial" w:cs="Arial" w:eastAsia="Arial" w:hAnsi="Arial"/>
          <w:sz w:val="21"/>
          <w:szCs w:val="21"/>
          <w:color w:val="auto"/>
        </w:rPr>
        <w:t>), (ii) $100,000,000 aggregate principal amount of its 4.45% Senior Guaranteed Notes, Series B, due February 2, 2025 (the</w:t>
      </w:r>
      <w:r>
        <w:rPr>
          <w:rFonts w:ascii="Arial" w:cs="Arial" w:eastAsia="Arial" w:hAnsi="Arial"/>
          <w:sz w:val="21"/>
          <w:szCs w:val="21"/>
          <w:i w:val="1"/>
          <w:iCs w:val="1"/>
          <w:color w:val="auto"/>
        </w:rPr>
        <w:t xml:space="preserve"> “Series B Notes”</w:t>
      </w:r>
      <w:r>
        <w:rPr>
          <w:rFonts w:ascii="Arial" w:cs="Arial" w:eastAsia="Arial" w:hAnsi="Arial"/>
          <w:sz w:val="21"/>
          <w:szCs w:val="21"/>
          <w:color w:val="auto"/>
        </w:rPr>
        <w:t>), and (iii) $100,000,000 aggregate principal amount of its 4.50% Senior Guaranteed Notes, Series C, due April 1,</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2025 (the </w:t>
      </w:r>
      <w:r>
        <w:rPr>
          <w:rFonts w:ascii="Arial" w:cs="Arial" w:eastAsia="Arial" w:hAnsi="Arial"/>
          <w:sz w:val="21"/>
          <w:szCs w:val="21"/>
          <w:i w:val="1"/>
          <w:iCs w:val="1"/>
          <w:color w:val="auto"/>
        </w:rPr>
        <w:t>“Series C Notes”,</w:t>
      </w:r>
      <w:r>
        <w:rPr>
          <w:rFonts w:ascii="Arial" w:cs="Arial" w:eastAsia="Arial" w:hAnsi="Arial"/>
          <w:sz w:val="21"/>
          <w:szCs w:val="21"/>
          <w:color w:val="auto"/>
        </w:rPr>
        <w:t xml:space="preserve"> and together with the Series A Notes and Series B Notes, as amended, restated or otherwise modified from time to time pursuant to Section 17 of the Note Purchase Agreement and including any such notes issued in substitution therefor pursuant to Section 13, the </w:t>
      </w:r>
      <w:r>
        <w:rPr>
          <w:rFonts w:ascii="Arial" w:cs="Arial" w:eastAsia="Arial" w:hAnsi="Arial"/>
          <w:sz w:val="21"/>
          <w:szCs w:val="21"/>
          <w:i w:val="1"/>
          <w:iCs w:val="1"/>
          <w:color w:val="auto"/>
        </w:rPr>
        <w:t>“Notes”</w:t>
      </w:r>
      <w:r>
        <w:rPr>
          <w:rFonts w:ascii="Arial" w:cs="Arial" w:eastAsia="Arial" w:hAnsi="Arial"/>
          <w:sz w:val="21"/>
          <w:szCs w:val="21"/>
          <w:color w:val="auto"/>
        </w:rPr>
        <w:t>).</w:t>
      </w:r>
    </w:p>
    <w:p>
      <w:pPr>
        <w:spacing w:after="0" w:line="20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WHEREAS, each Guarantor is either the REIT, which is the direct parent of the Company or a direct or indirect Subsidiary of the Company and will, directly or indirectly, benefit from the financing arrangements contemplated by the Note Purchase Agreement.</w:t>
      </w:r>
    </w:p>
    <w:p>
      <w:pPr>
        <w:spacing w:after="0" w:line="21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WHEREAS, this Guaranty is integral to the transactions contemplated by the Note Purchase Agreement, and the execution and delivery hereof is a condition precedent to the effectiveness of the Note Purchase Agreement and the Purchasers’ obligation to purchase the Notes.</w:t>
      </w:r>
    </w:p>
    <w:p>
      <w:pPr>
        <w:sectPr>
          <w:pgSz w:w="11900" w:h="16838" w:orient="portrait"/>
          <w:cols w:equalWidth="0" w:num="1">
            <w:col w:w="11420"/>
          </w:cols>
          <w:pgMar w:left="240" w:top="1004" w:right="239" w:bottom="1440" w:gutter="0" w:footer="0" w:header="0"/>
        </w:sectPr>
      </w:pPr>
    </w:p>
    <w:bookmarkStart w:id="218" w:name="page219"/>
    <w:bookmarkEnd w:id="218"/>
    <w:p>
      <w:pPr>
        <w:jc w:val="both"/>
        <w:ind w:firstLine="648"/>
        <w:spacing w:after="0" w:line="292" w:lineRule="auto"/>
        <w:rPr>
          <w:sz w:val="20"/>
          <w:szCs w:val="20"/>
          <w:color w:val="auto"/>
        </w:rPr>
      </w:pPr>
      <w:r>
        <w:rPr>
          <w:rFonts w:ascii="Arial" w:cs="Arial" w:eastAsia="Arial" w:hAnsi="Arial"/>
          <w:sz w:val="22"/>
          <w:szCs w:val="22"/>
          <w:color w:val="auto"/>
        </w:rPr>
        <w:t>WHEREAS, each Guarantor will obtain substantial direct and indirect benefits from the issuance of the Notes by the Company and, accordingly, desires to execute this Guaranty in order to satisfy the condition described in the preceding paragraph and to induce the Purchasers to purchase the Notes.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NOW, THEREFORE, as an inducement to the Purchasers to enter into the Note Purchase Agreement and to purchase the Notes thereunder, and for other good and valuable consideration, the receipt and sufficiency of which are hereby acknowledged, each Guarantor hereby makes the following representations and warranties to the Holders of the Notes and the other parties to whom any Obligations are owing, and hereby covenants and agrees as follows:</w:t>
      </w:r>
    </w:p>
    <w:p>
      <w:pPr>
        <w:spacing w:after="0" w:line="258"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1"/>
          <w:szCs w:val="21"/>
          <w:color w:val="auto"/>
        </w:rPr>
        <w:t>GUARANTY.</w:t>
      </w:r>
    </w:p>
    <w:p>
      <w:pPr>
        <w:spacing w:after="0" w:line="287" w:lineRule="exact"/>
        <w:rPr>
          <w:sz w:val="20"/>
          <w:szCs w:val="20"/>
          <w:color w:val="auto"/>
        </w:rPr>
      </w:pPr>
    </w:p>
    <w:p>
      <w:pPr>
        <w:jc w:val="both"/>
        <w:ind w:firstLine="648"/>
        <w:spacing w:after="0" w:line="296" w:lineRule="exact"/>
        <w:rPr>
          <w:sz w:val="20"/>
          <w:szCs w:val="20"/>
          <w:color w:val="auto"/>
        </w:rPr>
      </w:pPr>
      <w:r>
        <w:rPr>
          <w:rFonts w:ascii="Arial" w:cs="Arial" w:eastAsia="Arial" w:hAnsi="Arial"/>
          <w:sz w:val="19"/>
          <w:szCs w:val="19"/>
          <w:color w:val="auto"/>
        </w:rPr>
        <w:t>Each Guarantor, jointly and severally with the other Guarantors, hereby absolutely and unconditionally guarantees, as a guaranty of payment and performance and not as a guaranty of collection, prompt payment when due, whether at stated maturity, by required prepayment, upon acceleration, demand or otherwise, and at all times thereafter, of all of the Obligations, including without limitation (i) the principal of, premium, if any, and interest on the Notes issued by the Company under the Note Purchase Agreement, (ii) all renewals, extensions, amendments, refinancings and other modifications thereof, and (iii) all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 xml:space="preserve">pocket expenses incurred by any Holder (including the reasonable fees, charges and disbursements of one counsel for the Holders, taken as a whole) in connection with the collection or enforcement thereof for which the Company is liable under the Note Purchase Agreement, and whether recovery upon such Obligations may be or hereafter become unenforceable or shall be an allowed or disallowed claim under any proceeding or case commenced by or against the Company or any other Note Party under the Bankruptcy Code (Title 11, United States Code), any successor statute or any other liquidation, conservatorship, bankruptcy, assignment for the benefit of creditors, moratorium, rearrangement, receivership, insolvency, reorganization, or similar debtor relief laws of the United States or other applicable jurisdictions from time to time in effect (collectively, </w:t>
      </w:r>
      <w:r>
        <w:rPr>
          <w:rFonts w:ascii="Arial" w:cs="Arial" w:eastAsia="Arial" w:hAnsi="Arial"/>
          <w:sz w:val="19"/>
          <w:szCs w:val="19"/>
          <w:i w:val="1"/>
          <w:iCs w:val="1"/>
          <w:color w:val="auto"/>
        </w:rPr>
        <w:t>“Debtor Relief Laws”</w:t>
      </w:r>
      <w:r>
        <w:rPr>
          <w:rFonts w:ascii="Arial" w:cs="Arial" w:eastAsia="Arial" w:hAnsi="Arial"/>
          <w:sz w:val="19"/>
          <w:szCs w:val="19"/>
          <w:color w:val="auto"/>
        </w:rPr>
        <w:t xml:space="preserve">), and including interest that accrues after the commencement by or against the Company or any other Note Party of any proceeding under any Debtor Relief Laws (collectively, the </w:t>
      </w:r>
      <w:r>
        <w:rPr>
          <w:rFonts w:ascii="Arial" w:cs="Arial" w:eastAsia="Arial" w:hAnsi="Arial"/>
          <w:sz w:val="19"/>
          <w:szCs w:val="19"/>
          <w:i w:val="1"/>
          <w:iCs w:val="1"/>
          <w:color w:val="auto"/>
        </w:rPr>
        <w:t>“Guaranteed Obligations”</w:t>
      </w:r>
      <w:r>
        <w:rPr>
          <w:rFonts w:ascii="Arial" w:cs="Arial" w:eastAsia="Arial" w:hAnsi="Arial"/>
          <w:sz w:val="19"/>
          <w:szCs w:val="19"/>
          <w:color w:val="auto"/>
        </w:rPr>
        <w:t>). The books and records of the Holders showing the amount of the Guaranteed Obligations shall be admissible in evidence in any action or proceeding, and shall be binding upon the Guarantors and conclusive for the purpose of establishing the amount of the Guaranteed Obligations absent manifest error. This Guaranty shall not be affected by the genuineness, validity, regularity or enforceability of the Guaranteed Obligations or any instrument or agreement evidencing any Guaranteed Obligations, or by the existence, validity, enforceability, perfection, non</w:t>
      </w:r>
      <w:r>
        <w:rPr>
          <w:rFonts w:ascii="MS PGothic" w:cs="MS PGothic" w:eastAsia="MS PGothic" w:hAnsi="MS PGothic"/>
          <w:sz w:val="19"/>
          <w:szCs w:val="19"/>
          <w:color w:val="auto"/>
        </w:rPr>
        <w:t>‑</w:t>
      </w:r>
      <w:r>
        <w:rPr>
          <w:rFonts w:ascii="Arial" w:cs="Arial" w:eastAsia="Arial" w:hAnsi="Arial"/>
          <w:sz w:val="19"/>
          <w:szCs w:val="19"/>
          <w:color w:val="auto"/>
        </w:rPr>
        <w:t>perfection or extent of any collateral therefor, or by any fact or circumstance relating to the Guaranteed Obligations which might otherwise constitute a defense to the obligations of any Guarantor under this Guaranty, and each</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28" w:right="239" w:bottom="1440" w:gutter="0" w:footer="0" w:header="0"/>
        </w:sectPr>
      </w:pPr>
    </w:p>
    <w:bookmarkStart w:id="219" w:name="page220"/>
    <w:bookmarkEnd w:id="219"/>
    <w:p>
      <w:pPr>
        <w:jc w:val="both"/>
        <w:spacing w:after="0" w:line="302" w:lineRule="auto"/>
        <w:rPr>
          <w:sz w:val="20"/>
          <w:szCs w:val="20"/>
          <w:color w:val="auto"/>
        </w:rPr>
      </w:pPr>
      <w:r>
        <w:rPr>
          <w:rFonts w:ascii="Arial" w:cs="Arial" w:eastAsia="Arial" w:hAnsi="Arial"/>
          <w:sz w:val="22"/>
          <w:szCs w:val="22"/>
          <w:color w:val="auto"/>
        </w:rPr>
        <w:t>Guarantor hereby irrevocably waives any defenses (other than the defense of payment and performance in full of the Guaranteed Obligations) it may now have or hereafter acquire in any way relating to any or all of the foregoing.</w:t>
      </w:r>
    </w:p>
    <w:p>
      <w:pPr>
        <w:spacing w:after="0" w:line="201"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color w:val="auto"/>
        </w:rPr>
        <w:t>Anything contained in this Guaranty to the contrary notwithstanding, it is the intention of each Guarantor and the Holders that the obligations of each Guarantor hereunder at any time shall be limited to an aggregate amount equal to the largest amount that would not render its obligations hereunder subject to avoidance as a fraudulent transfer or conveyance under Section 548 of the Bankruptcy Code (Title 11, United States Code) or any comparable provisions of any similar federal or state law. To that end, but only in the event and to the extent that after giving effect to Section 17 of this Guaranty, such Guarantor’s obligations with respect to the Guaranteed Obligations or any payment made pursuant to such Guaranteed Obligations would, but for the operation of the first sentence of this paragraph, be subject to avoidance or recovery in any such proceeding under applicable Debtor Relief Laws after giving effect to Section 17 of this Guaranty, the amount of such Guarantor’s obligations with respect to the Guaranteed Obligations shall be limited to the largest amount which, after giving effect thereto, would not, under applicable Debtor Relief Laws, render such Guarantor’s obligations with respect to the Guaranteed Obligations unenforceable or avoidable or otherwise subject to recovery under applicable Debtor Relief Laws. To the extent any payment actually made pursuant to the Guaranteed Obligations exceeds the limitation of the first sentence of this paragraph and is otherwise subject to avoidance and recovery in any such proceeding under applicable Debtor Relief Laws, the amount subject to avoidance shall in all events be limited to the amount by which such actual payment exceeds such limitation, and the Guaranteed Obligations as limited by the first sentence of this paragraph shall in all events remain in full force and effect and be fully enforceable against such Guarantor. The first sentence of this paragraph is intended solely to preserve the rights of the Holders hereunder against such Guarantor in such proceeding to the maximum extent permitted by applicable Debtor Relief Laws and neither such Guarantor, the Company, any other Guarantor nor any other Person shall have any right or claim under such sentence that would not otherwise be available under applicable Debtor Relief Laws in such proceeding.</w:t>
      </w:r>
    </w:p>
    <w:p>
      <w:pPr>
        <w:spacing w:after="0" w:line="200" w:lineRule="exact"/>
        <w:rPr>
          <w:sz w:val="20"/>
          <w:szCs w:val="20"/>
          <w:color w:val="auto"/>
        </w:rPr>
      </w:pPr>
    </w:p>
    <w:p>
      <w:pPr>
        <w:spacing w:after="0" w:line="321"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RIGHTS OF HOLDERS.</w:t>
      </w:r>
    </w:p>
    <w:p>
      <w:pPr>
        <w:spacing w:after="0" w:line="2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Each Guarantor consents and agrees that the Holders may, at any time and from time to time, without notice or demand, and without affecting the enforceability or continuing effectiveness hereof: (a) amend, extend, renew, compromise, discharge, accelerate or otherwise change the times for payment or the terms of the Guaranteed Obligations or any part thereof; (b) take, hold, exchange, enforce, waive, release, fail to perfect, sell, or otherwise dispose of any security for the payment of this Guaranty or any Guaranteed Obligations; (c) apply such security (if any) and direct the order or manner of sale thereof as the Holders in their sole discretion may determine; and (d) release or substitute one or more of any endorsers or other guarantors of any of the Guaranteed Obligations.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29" w:right="239" w:bottom="1440" w:gutter="0" w:footer="0" w:header="0"/>
        </w:sectPr>
      </w:pPr>
    </w:p>
    <w:bookmarkStart w:id="220" w:name="page221"/>
    <w:bookmarkEnd w:id="220"/>
    <w:p>
      <w:pPr>
        <w:jc w:val="both"/>
        <w:spacing w:after="0" w:line="292" w:lineRule="auto"/>
        <w:rPr>
          <w:sz w:val="20"/>
          <w:szCs w:val="20"/>
          <w:color w:val="auto"/>
        </w:rPr>
      </w:pPr>
      <w:r>
        <w:rPr>
          <w:rFonts w:ascii="Arial" w:cs="Arial" w:eastAsia="Arial" w:hAnsi="Arial"/>
          <w:sz w:val="22"/>
          <w:szCs w:val="22"/>
          <w:color w:val="auto"/>
        </w:rPr>
        <w:t>Without limiting the generality of the foregoing, each Guarantor consents to the taking of, or failure to take, any action which might in any manner or to any extent vary the risks of the Guarantors under this Guaranty or which, but for this provision, might operate as a discharge of one or more of the Guarantors.</w:t>
      </w:r>
    </w:p>
    <w:p>
      <w:pPr>
        <w:spacing w:after="0" w:line="252"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CERTAIN WAIVERS.</w:t>
      </w:r>
    </w:p>
    <w:p>
      <w:pPr>
        <w:spacing w:after="0" w:line="287"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Each Guarantor waives (a) any defense arising by reason of any disability or other defense of the Company, any other Note Party or any other guarantor of the Guaranteed Obligations or any part thereof, or the cessation from any cause whatsoever (including any act or omission of any Holder) of the liability of the Company; (b) any defense based on any claim that such Guarantor’s obligations exceed or are more burdensome than those of the Company; (c) the benefit of any statute of limitations affecting such Guarantor’s liability hereunder; (d) any right to require any Holder to proceed against the Company or any other Note Party, proceed against or exhaust any security for any of the Guaranteed Obligations, or pursue any other remedy in the power of any Holder; (e) any benefit of and any right to participate in any security now or hereafter held by any Holder; and (f) to the full extent permitted by law, any and all other defenses (other than the defense of payment and performance in full of the Guaranteed Obligations)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Guaranteed Obligations, and all notices of acceptance of this Guaranty or of the existence, creation or incurrence of new or additional Guaranteed Obligations.</w:t>
      </w:r>
    </w:p>
    <w:p>
      <w:pPr>
        <w:spacing w:after="0" w:line="229"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OBLIGATIONS INDEPENDENT.</w:t>
      </w:r>
    </w:p>
    <w:p>
      <w:pPr>
        <w:spacing w:after="0" w:line="2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The obligations of each Guarantor hereunder are those of primary obligor, and not merely as surety, and are independent of the Guaranteed Obligations and the obligations of any other guarantor of the Guaranteed Obligations or any part thereof, and a separate action may be brought against any Guarantor to enforce this Guaranty whether or not the Company or any other Person is joined as a party. For the avoidance of doubt, all obligations of each Guarantor under this Guaranty are joint and several obligations of all the Guarantors.</w:t>
      </w:r>
    </w:p>
    <w:p>
      <w:pPr>
        <w:spacing w:after="0" w:line="257"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SUBROGATION.</w:t>
      </w:r>
    </w:p>
    <w:p>
      <w:pPr>
        <w:spacing w:after="0" w:line="28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No Guarantor shall exercise any right of subrogation, contribution, indemnity, reimbursement or similar rights with respect to any payments it makes under this Guaranty until all of the Guaranteed Obligations and any amounts payable under this Guaranty (other than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28" w:right="239" w:bottom="1440" w:gutter="0" w:footer="0" w:header="0"/>
        </w:sectPr>
      </w:pPr>
    </w:p>
    <w:bookmarkStart w:id="221" w:name="page222"/>
    <w:bookmarkEnd w:id="221"/>
    <w:p>
      <w:pPr>
        <w:jc w:val="both"/>
        <w:spacing w:after="0" w:line="346" w:lineRule="auto"/>
        <w:rPr>
          <w:sz w:val="20"/>
          <w:szCs w:val="20"/>
          <w:color w:val="auto"/>
        </w:rPr>
      </w:pPr>
      <w:r>
        <w:rPr>
          <w:rFonts w:ascii="Arial" w:cs="Arial" w:eastAsia="Arial" w:hAnsi="Arial"/>
          <w:sz w:val="19"/>
          <w:szCs w:val="19"/>
          <w:color w:val="auto"/>
        </w:rPr>
        <w:t>contingent indemnification obligations that survive termination of the Note Documents for which no claim has been made) have been indefeasibly paid and performed in full in immediately available funds. If any amounts are paid to any Guarantor in violation of the foregoing limitation, then such amounts shall be held in trust by such Guarantor for the benefit of the Holders and shall forthwith be paid to the Holders for application to the Guaranteed Obligations in accordance with the terms of the Note Documents.</w:t>
      </w:r>
    </w:p>
    <w:p>
      <w:pPr>
        <w:spacing w:after="0" w:line="212"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TERMINATION; REINSTATEMENT.</w:t>
      </w:r>
    </w:p>
    <w:p>
      <w:pPr>
        <w:spacing w:after="0" w:line="287" w:lineRule="exact"/>
        <w:rPr>
          <w:sz w:val="20"/>
          <w:szCs w:val="20"/>
          <w:color w:val="auto"/>
        </w:rPr>
      </w:pPr>
    </w:p>
    <w:p>
      <w:pPr>
        <w:jc w:val="both"/>
        <w:ind w:firstLine="832"/>
        <w:spacing w:after="0" w:line="298" w:lineRule="auto"/>
        <w:tabs>
          <w:tab w:leader="none" w:pos="1308"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This Guaranty is a continuing and irrevocable guaranty of all Guaranteed Obligations now or hereafter existing and shall remain in full force and effect until all of the Guaranteed Obligations (other than contingent indemnification obligations that survive termination of the Note Documents for which no claim has been made) and any amounts payable under this Guaranty have been indefeasibly paid and performed in full in immediately available funds. Notwithstanding the foregoing, this Guaranty shall continue in full force and effect or be revived, as the case may be, if any payment by or on behalf of the Company or a Guarantor is made, or a Holder exercises its right of setoff, in respect of the Guaranteed Obligations and such payment or the proceeds of such setoff or any part thereof is subsequently invalidated, declared to be fraudulent or preferential, set aside or required (including pursuant to any settlement entered into by a Holder in its discretion) to be repaid to a trustee, receiver or any other party, in connection with any proceeding under any Debtor Relief Laws or otherwise, all as if such payment had not been made or such setoff had not occurred and whether or not the Holders are in possession of or have released this Guaranty and regardless of any prior revocation, rescission, termination or reduction. The obligations of the Guarantors under this paragraph shall survive termination of this Guaranty.</w:t>
      </w:r>
    </w:p>
    <w:p>
      <w:pPr>
        <w:spacing w:after="0" w:line="210" w:lineRule="exact"/>
        <w:rPr>
          <w:rFonts w:ascii="Arial" w:cs="Arial" w:eastAsia="Arial" w:hAnsi="Arial"/>
          <w:sz w:val="21"/>
          <w:szCs w:val="21"/>
          <w:color w:val="auto"/>
        </w:rPr>
      </w:pPr>
    </w:p>
    <w:p>
      <w:pPr>
        <w:jc w:val="both"/>
        <w:ind w:firstLine="832"/>
        <w:spacing w:after="0" w:line="332" w:lineRule="auto"/>
        <w:tabs>
          <w:tab w:leader="none" w:pos="140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Guaranty, each Guarantor hereby acknowledges and agrees that if at any time any Subsidiary of the Company is released from its obligations as a Guarantor under this Guaranty as a result of a Permitted Subsidiary Guarantor Release and, subsequent to such Permitted Subsidiary Guarantor Release, such Subsidiary provides a Guaranty of, or otherwise becomes an obligor in respect of, any Indebtedness of the Company (other than the Obligations), then, immediately at the time such Subsidiary Guarantees such Indebtedness of the Company or otherwise becomes an obligor in respect thereof, all Obligations of such Subsidiary under this Guaranty (including its guaranty of the Guaranteed Obligations hereunder) shall be automatically revived and reinstated without any action on the part of the Holders, such Subsidiary or any other Person. In connection with any such revival and reinstatement of the obligations of such Subsidiary hereunder, such Subsidiary shall (x) execute such reaffirmations of its obligations hereunder (including reaffirmations of its guaranty of the Guaranteed Obligations) as reasonably requested by the Required Holders and (y) cause all requirements of Section 9.7(a) of the Note Purchase Agreement to be satisfied with respect to such Subsidiary.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28" w:right="239" w:bottom="1440" w:gutter="0" w:footer="0" w:header="0"/>
        </w:sectPr>
      </w:pPr>
    </w:p>
    <w:bookmarkStart w:id="222" w:name="page223"/>
    <w:bookmarkEnd w:id="222"/>
    <w:p>
      <w:pPr>
        <w:spacing w:after="0"/>
        <w:tabs>
          <w:tab w:leader="none" w:pos="150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21"/>
          <w:szCs w:val="21"/>
          <w:color w:val="auto"/>
        </w:rPr>
        <w:t>RELEASE OF LIABILITY OF GUARANTOR.</w:t>
      </w:r>
    </w:p>
    <w:p>
      <w:pPr>
        <w:spacing w:after="0" w:line="287" w:lineRule="exact"/>
        <w:rPr>
          <w:sz w:val="20"/>
          <w:szCs w:val="20"/>
          <w:color w:val="auto"/>
        </w:rPr>
      </w:pPr>
    </w:p>
    <w:p>
      <w:pPr>
        <w:jc w:val="both"/>
        <w:ind w:firstLine="656"/>
        <w:spacing w:after="0" w:line="292" w:lineRule="auto"/>
        <w:tabs>
          <w:tab w:leader="none" w:pos="98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Notwithstanding anything contained to the contrary herein, any Person (other than the REIT) that ceases to be a Guarantor pursuant to Section 9.7(b) of the Note Purchase Agreement shall cease to be a party hereto and shall automatically be released from this Guaranty without further action by any Person.</w:t>
      </w:r>
    </w:p>
    <w:p>
      <w:pPr>
        <w:spacing w:after="0" w:line="211" w:lineRule="exact"/>
        <w:rPr>
          <w:rFonts w:ascii="Arial" w:cs="Arial" w:eastAsia="Arial" w:hAnsi="Arial"/>
          <w:sz w:val="22"/>
          <w:szCs w:val="22"/>
          <w:color w:val="auto"/>
        </w:rPr>
      </w:pPr>
    </w:p>
    <w:p>
      <w:pPr>
        <w:jc w:val="both"/>
        <w:ind w:right="20" w:firstLine="656"/>
        <w:spacing w:after="0" w:line="357" w:lineRule="auto"/>
        <w:tabs>
          <w:tab w:leader="none" w:pos="968" w:val="left"/>
        </w:tabs>
        <w:numPr>
          <w:ilvl w:val="0"/>
          <w:numId w:val="159"/>
        </w:numPr>
        <w:rPr>
          <w:rFonts w:ascii="Arial" w:cs="Arial" w:eastAsia="Arial" w:hAnsi="Arial"/>
          <w:sz w:val="19"/>
          <w:szCs w:val="19"/>
          <w:color w:val="auto"/>
        </w:rPr>
      </w:pPr>
      <w:r>
        <w:rPr>
          <w:rFonts w:ascii="Arial" w:cs="Arial" w:eastAsia="Arial" w:hAnsi="Arial"/>
          <w:sz w:val="19"/>
          <w:szCs w:val="19"/>
          <w:color w:val="auto"/>
        </w:rPr>
        <w:t>On and after the consummation of any such release, the Holders shall, upon the request and at the sole expense of the Company, provide the Company with written confirmation of such release and shall take such further actions as reasonably requested by the Company to evidence such release all in accordance with Section 9.7(b) of the Note Purchase Agreement.</w:t>
      </w:r>
    </w:p>
    <w:p>
      <w:pPr>
        <w:spacing w:after="0" w:line="200"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STAY OF ACCELERATION.</w:t>
      </w:r>
    </w:p>
    <w:p>
      <w:pPr>
        <w:spacing w:after="0" w:line="2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In the event that acceleration of the time for payment of any of the Guaranteed Obligations is stayed, in connection with any case commenced by or against the Company or any other Note Party under any Debtor Relief Laws, or otherwise, all such amounts shall nonetheless be payable by the Guarantors who are not subject to such automatic stay immediately upon demand by the Required Holders.</w:t>
      </w:r>
    </w:p>
    <w:p>
      <w:pPr>
        <w:spacing w:after="0" w:line="258"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1"/>
          <w:szCs w:val="21"/>
          <w:color w:val="auto"/>
        </w:rPr>
        <w:t>MODIFICATIONS; MISCELLANEOUS.</w:t>
      </w:r>
    </w:p>
    <w:p>
      <w:pPr>
        <w:spacing w:after="0" w:line="287"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Neither this Guaranty nor any provision hereof may be changed, waived, discharged or terminated except in a writing signed by each Guarantor directly affected thereby (it being understood that the addition or release of any Guarantor hereunder shall not constitute a change, waiver, discharge or termination affecting any Guarantor other than the Guarantor so added or released) and the Required Holders. No failure by any Holder to exercise, and no delay in exercising, any right, remedy or power hereunder shall operate as a waiver thereof; nor shall any single or partial exercise of any right, remedy or power hereunder preclude any other or further exercise thereof or the exercise of any other right, power or remedy. The remedies herein provided are cumulative and not exclusive of any remedies provided by law or in equity. The unenforceability or invalidity of any provision of this Guaranty shall not affect the enforceability or validity of any other provision herein.</w:t>
      </w:r>
    </w:p>
    <w:p>
      <w:pPr>
        <w:spacing w:after="0" w:line="221"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color w:val="auto"/>
        </w:rPr>
        <w:t>CONDITION OF NOTE PARTIES.</w:t>
      </w:r>
    </w:p>
    <w:p>
      <w:pPr>
        <w:spacing w:after="0" w:line="28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Each Guarantor acknowledges and agrees that it has the sole responsibility for, and has adequate means of, obtaining from the Note Parties and any other guarantor of the Guaranteed Obligations such information concerning the financial condition, business and operations of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69" w:right="239" w:bottom="1440" w:gutter="0" w:footer="0" w:header="0"/>
        </w:sectPr>
      </w:pPr>
    </w:p>
    <w:bookmarkStart w:id="223" w:name="page224"/>
    <w:bookmarkEnd w:id="223"/>
    <w:p>
      <w:pPr>
        <w:jc w:val="both"/>
        <w:spacing w:after="0" w:line="346" w:lineRule="auto"/>
        <w:rPr>
          <w:sz w:val="20"/>
          <w:szCs w:val="20"/>
          <w:color w:val="auto"/>
        </w:rPr>
      </w:pPr>
      <w:r>
        <w:rPr>
          <w:rFonts w:ascii="Arial" w:cs="Arial" w:eastAsia="Arial" w:hAnsi="Arial"/>
          <w:sz w:val="19"/>
          <w:szCs w:val="19"/>
          <w:color w:val="auto"/>
        </w:rPr>
        <w:t>Note Parties and any such other guarantors as such Guarantor requires, and that no Holder has any duty, and no Guarantor is relying on any Holder at any time, to disclose to such Guarantor any information relating to the business, operations or financial condition of any Note Party or any other guarantor of the Guaranteed Obligations (such Guarantor waiving any duty on the part of the Holders to disclose such information and any defense relating to the failure to provide the same).</w:t>
      </w:r>
    </w:p>
    <w:p>
      <w:pPr>
        <w:spacing w:after="0" w:line="212"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SETOFF.</w:t>
      </w:r>
    </w:p>
    <w:p>
      <w:pPr>
        <w:spacing w:after="0" w:line="287"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 xml:space="preserve">In addition to any rights now or hereafter granted under applicable law (including, without limitation, Section 151 of the New York Debtor and Creditor Law) and not by way of limitation of any such rights, upon the occurrence and during the continuance of an Event of Default, each Holder and each of their respective Affiliates is hereby authorized, at any time or from time to time, to set off and to appropriate and apply any and all deposits (general or special) and any other indebtedness at any time held or owing by such Holder or any of its Affiliates to or for the credit or the account of any Guarantor, against and on account of the Guaranteed Obligations of such Guarantor to such Holder under this Guaranty, irrespective of whether or not such Holder has made any demand hereunder and although said Guaranteed Obligations, shall be contingent or unmatured or are owed to a branch or office or Affiliate of such Lender different from the branch or office or Affiliate holding such deposit or obligated on such indebtedness. The rights of each Holder and their respective Affiliates under this Section are in addition to other rights and remedies (including other rights of setoff) that such Holder or its respective Affiliates may have. Each Holder (by its acceptance of the benefits hereof) acknowledges and agrees to promptly notify the Company after any such setoff and application;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233"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color w:val="auto"/>
        </w:rPr>
        <w:t>REPRESENTATIONS AND WARRANTIES.</w:t>
      </w:r>
    </w:p>
    <w:p>
      <w:pPr>
        <w:spacing w:after="0" w:line="28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1"/>
          <w:szCs w:val="21"/>
          <w:color w:val="auto"/>
        </w:rPr>
        <w:t>Each Guarantor represents and warrants as of the date hereof and as of the date at each Closing that (a) it is duly organized and in good standing under the laws of the jurisdiction of its organization and has full capacity and right to make and perform this Guaranty, and all necessary authority has been obtained; (b) this Guaranty constitutes its legal, valid and binding obligation enforceable in accordance with its terms, except as enforceability may be limited by bankruptcy, insolvency, fraudulent conveyance, reorganization, moratorium or similar laws affecting the enforceability of creditors’ rights generally and by general principles of equity (regardless of whether enforcement is sought at law or in equity); (c) the making and performance of this Guaranty does not and will not violate the provisions of any applicable law, regulation or order, and does not and will not result in the breach of, or constitute a default or require any consent under, any agreement, instrument, or document to which it is a party or by which it or any of its property may be bound or affected, except as could not reasonably be expected to have a Material Adverse Effect;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29" w:right="239" w:bottom="1440" w:gutter="0" w:footer="0" w:header="0"/>
        </w:sectPr>
      </w:pPr>
    </w:p>
    <w:bookmarkStart w:id="224" w:name="page225"/>
    <w:bookmarkEnd w:id="224"/>
    <w:p>
      <w:pPr>
        <w:jc w:val="both"/>
        <w:ind w:firstLine="8"/>
        <w:spacing w:after="0" w:line="335" w:lineRule="auto"/>
        <w:tabs>
          <w:tab w:leader="none" w:pos="314"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all consents, approvals, licenses and authorizations of, and filings and registrations with, any Governmental Authority required under applicable law and regulations for the making and performance of this Guaranty have been obtained or made and are in full force and effect. In addition, each Guarantor represents and warrants that (x) until all of the Guaranteed Obligations (other than contingent indemnification obligations that survive termination of the Note Documents for which no claim has been made) and any amounts payable under this Guaranty have been indefeasibly paid and performed in full in immediately available funds, such Guarantor will comply with all covenants contained in the Note Purchase Agreement applicable to it as if it were a party thereto; and (y) an executed (or conformed) copy of each of the Note Documents has been made available to a senior officer of such Guarantor and such officer is familiar with the contents thereof.</w:t>
      </w:r>
    </w:p>
    <w:p>
      <w:pPr>
        <w:spacing w:after="0" w:line="221"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1"/>
          <w:szCs w:val="21"/>
          <w:color w:val="auto"/>
        </w:rPr>
        <w:t>INDEMNIFICATION AND SURVIVAL.</w:t>
      </w:r>
    </w:p>
    <w:p>
      <w:pPr>
        <w:spacing w:after="0" w:line="2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Without limitation on any other obligations of any Guarantor or remedies of any Holder under this Guaranty, each Guarantor shall, jointly and severally, to the full extent permitted by law, indemnify, defend and save and hold harmless each Holder if, and to the same extent that, the Holder is required to indemnify, defend and save and hold harmless such Holder under Section 15 of the Note Purchase Agreement. The obligations of the Guarantors under this paragraph shall survive the payment in full of the Guaranteed Obligations and termination of this Guaranty.</w:t>
      </w:r>
    </w:p>
    <w:p>
      <w:pPr>
        <w:spacing w:after="0" w:line="257"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21"/>
          <w:szCs w:val="21"/>
          <w:color w:val="auto"/>
        </w:rPr>
        <w:t>GUARANTY ENFORCEABLE BY ADMINISTRATIVE AGENT.</w:t>
      </w:r>
    </w:p>
    <w:p>
      <w:pPr>
        <w:spacing w:after="0" w:line="2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This Guaranty may be enforced only by the action of the Required Holders, and no other Holder will have any right individually to seek to enforce or to enforce this Guaranty or to realize upon the security (if any) to be granted by the Note Documents, it being understood and agreed that such rights and remedies may be exercised by the Required Holders, upon the terms of this Guaranty and the other Note Documents. It is understood and agreed that the agreement in this Section 14 is solely for the benefit of the Holders.</w:t>
      </w:r>
    </w:p>
    <w:p>
      <w:pPr>
        <w:spacing w:after="0" w:line="257"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color w:val="auto"/>
        </w:rPr>
        <w:t>SUBORDINATION OF INDEBTEDNESS HELD BY GUARANTORS.</w:t>
      </w:r>
    </w:p>
    <w:p>
      <w:pPr>
        <w:spacing w:after="0" w:line="287"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color w:val="auto"/>
        </w:rPr>
        <w:t>Any indebtedness of any Note Party now or hereafter held by any Guarantor is hereby subordinated to the prior payment in full in immediately available funds of all the Guaranteed Obligations, and such indebtedness of any Note Party to any Guarantor, if the Required Holders, after an Event of Default has occurred and is continuing, so request, shall be collected, enforced and received by such Guarantor as trustee for the Holders and be paid over to the Holders for application to the Guaranteed Obligations in accordance with the terms of the Note Documents. Prior to the transfer by any Guarantor of any note or negotiable instrument evidencing any indebtedness of any Note Party to such Guarantor, such Guarantor shall mark such note or negotiable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29" w:right="239" w:bottom="1440" w:gutter="0" w:footer="0" w:header="0"/>
        </w:sectPr>
      </w:pPr>
    </w:p>
    <w:bookmarkStart w:id="225" w:name="page226"/>
    <w:bookmarkEnd w:id="225"/>
    <w:p>
      <w:pPr>
        <w:jc w:val="both"/>
        <w:spacing w:after="0" w:line="332" w:lineRule="auto"/>
        <w:rPr>
          <w:sz w:val="20"/>
          <w:szCs w:val="20"/>
          <w:color w:val="auto"/>
        </w:rPr>
      </w:pPr>
      <w:r>
        <w:rPr>
          <w:rFonts w:ascii="Arial" w:cs="Arial" w:eastAsia="Arial" w:hAnsi="Arial"/>
          <w:sz w:val="19"/>
          <w:szCs w:val="19"/>
          <w:color w:val="auto"/>
        </w:rPr>
        <w:t xml:space="preserve">instrument with a legend that the same is subject to this subordination. Without limiting the generality of the foregoing, each Guarantor hereby agrees with the Holders that it will not exercise any right of subrogation which it may at any time otherwise have as a result of this Guaranty (whether contractual, under Section 509 of the Bankruptcy Code or otherwise) until all of the Guaranteed Obligations and any amounts payable under this Guaranty (other than contingent indemnification obligations that survive termination of the Note Documents for which no claim has been made) have been indefeasibly paid and performed in full in immediately available funds;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amount shall be paid to any Guarantor on account of such subrogation rights prior to such time, such amount shall be held in trust for the benefit of the Holders and shall forthwith be paid to the Holders for the benefit of the Holders to be credited and applied to the Guaranteed Obligations, whether matured or unmatured, in accordance with the terms of the Note Documents. Upon the indefeasible payment in full in immediately available funds of all of the Guaranteed Obligations and any amounts payable under this Guaranty (other than contingent indemnification obligations that survive termination of the Note Documents for which no claim has been made), each Guarantor shall be subrogated to the rights of the Holders to receive payments or distributions applicable to the Guaranteed Obligations until all Indebtedness of the Company held by such Guarantor shall be paid in full.</w:t>
      </w:r>
    </w:p>
    <w:p>
      <w:pPr>
        <w:spacing w:after="0" w:line="200" w:lineRule="exact"/>
        <w:rPr>
          <w:sz w:val="20"/>
          <w:szCs w:val="20"/>
          <w:color w:val="auto"/>
        </w:rPr>
      </w:pPr>
    </w:p>
    <w:p>
      <w:pPr>
        <w:spacing w:after="0" w:line="319"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21"/>
          <w:szCs w:val="21"/>
          <w:color w:val="auto"/>
        </w:rPr>
        <w:t>ADDITIONAL GUARANTORS.</w:t>
      </w:r>
    </w:p>
    <w:p>
      <w:pPr>
        <w:spacing w:after="0" w:line="28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Any Subsidiary of the REIT that is required to become a party to this Guaranty after the date hereof pursuant to Section 9.7(a) the Note Purchase Agreement shall become a Guarantor hereunder by executing and delivering a joinder agreement in the form attached hereto as Annex I.</w:t>
      </w:r>
    </w:p>
    <w:p>
      <w:pPr>
        <w:spacing w:after="0" w:line="252"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21"/>
          <w:szCs w:val="21"/>
          <w:color w:val="auto"/>
        </w:rPr>
        <w:t>CONTRIBUTION.</w:t>
      </w:r>
    </w:p>
    <w:p>
      <w:pPr>
        <w:spacing w:after="0" w:line="287"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color w:val="auto"/>
        </w:rPr>
        <w:t xml:space="preserve">At any time a payment in respect of the Guaranteed Obligations is made under this Guaranty, the right of contribution of each Guarantor against each other Guarantor shall be determined as provided in the immediately following sentence, with the right of contribution of each Guarantor to be revised and restated as of each date on which a payment (a </w:t>
      </w:r>
      <w:r>
        <w:rPr>
          <w:rFonts w:ascii="Arial" w:cs="Arial" w:eastAsia="Arial" w:hAnsi="Arial"/>
          <w:sz w:val="19"/>
          <w:szCs w:val="19"/>
          <w:i w:val="1"/>
          <w:iCs w:val="1"/>
          <w:color w:val="auto"/>
        </w:rPr>
        <w:t>“Relevant Payment”</w:t>
      </w:r>
      <w:r>
        <w:rPr>
          <w:rFonts w:ascii="Arial" w:cs="Arial" w:eastAsia="Arial" w:hAnsi="Arial"/>
          <w:sz w:val="19"/>
          <w:szCs w:val="19"/>
          <w:color w:val="auto"/>
        </w:rPr>
        <w:t xml:space="preserve">) is made on the Guaranteed Obligations under this Guaranty. At any time that a Relevant Payment is made by a Guarantor that results in the aggregate payments made by such Guarantor in respect of the Guaranteed Obligations to and including the date of the Relevant Payment exceeding such Guarantor’s Contribution Percentage (as defined below) of the aggregate payments made by all Guarantors in respect of the Guaranteed Obligations to and including the date of the Relevant Payment (such excess, the </w:t>
      </w:r>
      <w:r>
        <w:rPr>
          <w:rFonts w:ascii="Arial" w:cs="Arial" w:eastAsia="Arial" w:hAnsi="Arial"/>
          <w:sz w:val="19"/>
          <w:szCs w:val="19"/>
          <w:i w:val="1"/>
          <w:iCs w:val="1"/>
          <w:color w:val="auto"/>
        </w:rPr>
        <w:t>“Aggregate Excess Amount”</w:t>
      </w:r>
      <w:r>
        <w:rPr>
          <w:rFonts w:ascii="Arial" w:cs="Arial" w:eastAsia="Arial" w:hAnsi="Arial"/>
          <w:sz w:val="19"/>
          <w:szCs w:val="19"/>
          <w:color w:val="auto"/>
        </w:rPr>
        <w:t>), each such Guarantor shall have a right of contribution against each other Guarantor who either has</w:t>
      </w:r>
      <w:r>
        <w:rPr>
          <w:rFonts w:ascii="Arial" w:cs="Arial" w:eastAsia="Arial" w:hAnsi="Arial"/>
          <w:sz w:val="19"/>
          <w:szCs w:val="19"/>
          <w:i w:val="1"/>
          <w:iCs w:val="1"/>
          <w:color w:val="auto"/>
        </w:rPr>
        <w:t xml:space="preserve"> </w:t>
      </w:r>
      <w:r>
        <w:rPr>
          <w:rFonts w:ascii="Arial" w:cs="Arial" w:eastAsia="Arial" w:hAnsi="Arial"/>
          <w:sz w:val="19"/>
          <w:szCs w:val="19"/>
          <w:color w:val="auto"/>
        </w:rPr>
        <w:t>not made any payments or has made payments in respect of the Guaranteed Obligations to and including the date of the Relevant Payment in an aggregate amount less than such other Guarantor’s Contribution Percentage of the aggregate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28" w:right="239" w:bottom="1440" w:gutter="0" w:footer="0" w:header="0"/>
        </w:sectPr>
      </w:pPr>
    </w:p>
    <w:bookmarkStart w:id="226" w:name="page227"/>
    <w:bookmarkEnd w:id="226"/>
    <w:p>
      <w:pPr>
        <w:jc w:val="both"/>
        <w:spacing w:after="0" w:line="329" w:lineRule="auto"/>
        <w:rPr>
          <w:sz w:val="20"/>
          <w:szCs w:val="20"/>
          <w:color w:val="auto"/>
        </w:rPr>
      </w:pPr>
      <w:r>
        <w:rPr>
          <w:rFonts w:ascii="Arial" w:cs="Arial" w:eastAsia="Arial" w:hAnsi="Arial"/>
          <w:sz w:val="19"/>
          <w:szCs w:val="19"/>
          <w:color w:val="auto"/>
        </w:rPr>
        <w:t xml:space="preserve">payments made to and including the date of the Relevant Payment by all Guarantors in respect of the Guaranteed Obligations (the aggregate amount of such deficit, the </w:t>
      </w:r>
      <w:r>
        <w:rPr>
          <w:rFonts w:ascii="Arial" w:cs="Arial" w:eastAsia="Arial" w:hAnsi="Arial"/>
          <w:sz w:val="19"/>
          <w:szCs w:val="19"/>
          <w:i w:val="1"/>
          <w:iCs w:val="1"/>
          <w:color w:val="auto"/>
        </w:rPr>
        <w:t>“Aggregate Deficit Amount”</w:t>
      </w:r>
      <w:r>
        <w:rPr>
          <w:rFonts w:ascii="Arial" w:cs="Arial" w:eastAsia="Arial" w:hAnsi="Arial"/>
          <w:sz w:val="19"/>
          <w:szCs w:val="19"/>
          <w:color w:val="auto"/>
        </w:rPr>
        <w:t xml:space="preserve">) in an amount equal to (x) a fraction the numerator of which is the Aggregate Excess Amount of such Guarantor and the denominator of which is the Aggregate Excess Amount of all Guarantors multiplied by (y) the Aggregate Deficit Amount of such other Guarantor. A Guarantor’s right of contribution pursuant to the preceding sentences shall arise at the time of each computation, subject to adjustment at the time of each computation;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Guarantor may take any action to enforce such right until all of the Guaranteed Obligations and any amounts payable under this Guaranty (other than contingent indemnification obligations that survive termination of the Loan Documents and for which no claim has been made) have been indefeasibly paid and performed in full in immediately available funds, it being expressly recognized and agreed by all parties hereto that any Guarantor’s right of contribution arising pursuant to this Section 17 against any other Guarantor shall be expressly junior and subordinate to such other Guarantor’s obligations and liabilities in respect of the Guaranteed Obligations and any other obligations owing under this Guaranty. As used in this Section 17, (i) each Guarantor’s </w:t>
      </w:r>
      <w:r>
        <w:rPr>
          <w:rFonts w:ascii="Arial" w:cs="Arial" w:eastAsia="Arial" w:hAnsi="Arial"/>
          <w:sz w:val="19"/>
          <w:szCs w:val="19"/>
          <w:i w:val="1"/>
          <w:iCs w:val="1"/>
          <w:color w:val="auto"/>
        </w:rPr>
        <w:t xml:space="preserve">“Contribution Percentage” </w:t>
      </w:r>
      <w:r>
        <w:rPr>
          <w:rFonts w:ascii="Arial" w:cs="Arial" w:eastAsia="Arial" w:hAnsi="Arial"/>
          <w:sz w:val="19"/>
          <w:szCs w:val="19"/>
          <w:color w:val="auto"/>
        </w:rPr>
        <w:t>shall mean the percentage obtained by dividing (x) the Adjusted Net Worth (as defined below)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Guarantor by (y) the aggregate Adjusted Net Worth of all Guarantors; (ii) the “Adjusted Net Worth” of each Guarantor shall mean the greater of (x) the Net Worth (as defined below) of such Guarantor and (y) zero; and (iii) the </w:t>
      </w:r>
      <w:r>
        <w:rPr>
          <w:rFonts w:ascii="Arial" w:cs="Arial" w:eastAsia="Arial" w:hAnsi="Arial"/>
          <w:sz w:val="19"/>
          <w:szCs w:val="19"/>
          <w:i w:val="1"/>
          <w:iCs w:val="1"/>
          <w:color w:val="auto"/>
        </w:rPr>
        <w:t>“Net Worth”</w:t>
      </w:r>
      <w:r>
        <w:rPr>
          <w:rFonts w:ascii="Arial" w:cs="Arial" w:eastAsia="Arial" w:hAnsi="Arial"/>
          <w:sz w:val="19"/>
          <w:szCs w:val="19"/>
          <w:color w:val="auto"/>
        </w:rPr>
        <w:t xml:space="preserve"> of each Guarantor shall mean the amount by which the fair saleable value of such Guarantor’s assets on the date of any Relevant Payment exceeds its existing debts and other liabilities (including contingent liabilities, but without giving effect to any Guaranteed Obligations arising under this Guaranty) on such date. All parties hereto recognize and agree that, except for any right of contribution arising pursuant to this Section 17, each Guarantor who makes any payment in respect of the Guaranteed Obligations shall have no right of contribution or subrogation against any other Guarantor in respect of such payment until all of the Guaranteed Obligations (other than contingent indemnification obligations that survive termination of the Note Documents for which no claim has been made) have been indefeasibly paid and performed in full in cash. Each of the Guarantors recognizes and acknowledges that the rights to contribution arising hereunder shall constitute an asset in favor of the party entitled to such contribution. In this connection, each Guarantor has the right to waive its contribution right against any Guarantor to the extent that after giving effect to such waiver such Guarantor would remain solvent, in the determination of the Required Holders.</w:t>
      </w:r>
    </w:p>
    <w:p>
      <w:pPr>
        <w:spacing w:after="0" w:line="200" w:lineRule="exact"/>
        <w:rPr>
          <w:sz w:val="20"/>
          <w:szCs w:val="20"/>
          <w:color w:val="auto"/>
        </w:rPr>
      </w:pPr>
    </w:p>
    <w:p>
      <w:pPr>
        <w:spacing w:after="0" w:line="326"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color w:val="auto"/>
        </w:rPr>
        <w:t>COUNTERPARTS.</w:t>
      </w:r>
    </w:p>
    <w:p>
      <w:pPr>
        <w:spacing w:after="0" w:line="287"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This Guaranty may be executed in any number of counterparts and by the different parties hereto on separate counterparts, each of which when so executed and delivered shall be an original, but all of which shall together constitute one and the same instrument. A set of counterparts executed by all the parties hereto shall be lodged with the Company and the Holders.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28" w:right="239" w:bottom="1440" w:gutter="0" w:footer="0" w:header="0"/>
        </w:sectPr>
      </w:pPr>
    </w:p>
    <w:bookmarkStart w:id="227" w:name="page228"/>
    <w:bookmarkEnd w:id="227"/>
    <w:p>
      <w:pPr>
        <w:spacing w:after="0"/>
        <w:tabs>
          <w:tab w:leader="none" w:pos="150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color w:val="auto"/>
        </w:rPr>
        <w:t>HEADINGS DESCRIPTIVE.</w:t>
      </w:r>
    </w:p>
    <w:p>
      <w:pPr>
        <w:spacing w:after="0" w:line="2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headings of the several Sections of this Guaranty are inserted for convenience only and shall not in any way affect the meaning or construction of any provision of this Guaranty.</w:t>
      </w:r>
    </w:p>
    <w:p>
      <w:pPr>
        <w:spacing w:after="0" w:line="241"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20.</w:t>
      </w:r>
      <w:r>
        <w:rPr>
          <w:sz w:val="20"/>
          <w:szCs w:val="20"/>
          <w:color w:val="auto"/>
        </w:rPr>
        <w:tab/>
      </w:r>
      <w:r>
        <w:rPr>
          <w:rFonts w:ascii="Arial" w:cs="Arial" w:eastAsia="Arial" w:hAnsi="Arial"/>
          <w:sz w:val="19"/>
          <w:szCs w:val="19"/>
          <w:color w:val="auto"/>
        </w:rPr>
        <w:t>GOVERNING LAW; ASSIGNMENT; JURISDICTION; NOTICES.</w:t>
      </w:r>
    </w:p>
    <w:p>
      <w:pPr>
        <w:spacing w:after="0" w:line="287" w:lineRule="exact"/>
        <w:rPr>
          <w:sz w:val="20"/>
          <w:szCs w:val="20"/>
          <w:color w:val="auto"/>
        </w:rPr>
      </w:pPr>
    </w:p>
    <w:p>
      <w:pPr>
        <w:jc w:val="both"/>
        <w:ind w:firstLine="648"/>
        <w:spacing w:after="0" w:line="295" w:lineRule="exact"/>
        <w:rPr>
          <w:sz w:val="20"/>
          <w:szCs w:val="20"/>
          <w:color w:val="auto"/>
        </w:rPr>
      </w:pPr>
      <w:r>
        <w:rPr>
          <w:rFonts w:ascii="Arial" w:cs="Arial" w:eastAsia="Arial" w:hAnsi="Arial"/>
          <w:sz w:val="19"/>
          <w:szCs w:val="19"/>
          <w:color w:val="auto"/>
        </w:rPr>
        <w:t xml:space="preserve">THIS GUARANTY SHALL BE GOVERNED BY, AND CONSTRUED IN ACCORDANCE WITH, THE LAW OF THE STATE OF NEW YORK (WITHOUT GIVING EFFECT TO THE CONFLICTS OF LAW PROVISIONS THEREOF). This Guaranty shall bind the Guarantor and its successors and assigns,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Guarantor may assign its rights or obligations under this Guaranty (and any attempted assignment without such consent shall be void), and inure to the benefit of the Holders and their respective successors and assigns and the Holders may, in accordance with the Note Purchase Agreement and without affecting the obligations of any Guarantor hereunder, assign or sell the Notes and this Guaranty, in whole or in part. Each Guarantor hereby irrevocably (i) submits to the non</w:t>
      </w:r>
      <w:r>
        <w:rPr>
          <w:rFonts w:ascii="MS PGothic" w:cs="MS PGothic" w:eastAsia="MS PGothic" w:hAnsi="MS PGothic"/>
          <w:sz w:val="19"/>
          <w:szCs w:val="19"/>
          <w:color w:val="auto"/>
        </w:rPr>
        <w:t>‑</w:t>
      </w:r>
      <w:r>
        <w:rPr>
          <w:rFonts w:ascii="Arial" w:cs="Arial" w:eastAsia="Arial" w:hAnsi="Arial"/>
          <w:sz w:val="19"/>
          <w:szCs w:val="19"/>
          <w:color w:val="auto"/>
        </w:rPr>
        <w:t>exclusive jurisdiction of courts of the State of New York sitting in New York County and of the United States District Court of the Southern District of New York, and any appellate court from any thereof, in any action or proceeding arising out of or relating to this Guaranty, and (ii) waives to the fullest extent permitted by law any defense asserting an inconvenient forum in connection therewith. Each of the parties hereto (x) agrees that a final judgment in any such action or proceeding shall be conclusive and may be enforced in other jurisdictions by suit on the judgment or in any other manner provided by law, and (y) consents to the service of process out of any of the aforementioned courts, in the manner provided in Section 22.7 of the Note Purchase Agreement, to (A) in the case of the Holders, at the address provided in the Note Purchase Agreement and</w:t>
      </w:r>
    </w:p>
    <w:p>
      <w:pPr>
        <w:spacing w:after="0" w:line="28" w:lineRule="exact"/>
        <w:rPr>
          <w:sz w:val="20"/>
          <w:szCs w:val="20"/>
          <w:color w:val="auto"/>
        </w:rPr>
      </w:pPr>
    </w:p>
    <w:p>
      <w:pPr>
        <w:jc w:val="both"/>
        <w:ind w:firstLine="8"/>
        <w:spacing w:after="0" w:line="346" w:lineRule="auto"/>
        <w:tabs>
          <w:tab w:leader="none" w:pos="35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in the case of a Guarantor, at its address set forth opposite its signature page below. All notices and other communications to any Guarantor under this Guaranty shall be in writing and delivered in the manner set forth in Section 22.7 of the Note Purchase Agreement. All notices and other communications shall be in writing and addressed to such party at (i) in the case of any Holder, as provided in the Note Purchase Agreement, and (ii) in the case of any Guarantor, at its address set forth opposite its signature below.</w:t>
      </w:r>
    </w:p>
    <w:p>
      <w:pPr>
        <w:spacing w:after="0" w:line="212"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21"/>
          <w:szCs w:val="21"/>
          <w:color w:val="auto"/>
        </w:rPr>
        <w:t>WAIVER OF JURY TRIAL; FINAL AGREEMENT.</w:t>
      </w:r>
    </w:p>
    <w:p>
      <w:pPr>
        <w:spacing w:after="0" w:line="28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TO THE EXTENT ALLOWED BY APPLICABLE LAW, EACH GUARANTOR AND EACH HOLDER EACH IRREVOCABLY WAIVES TRIAL BY JURY WITH RESPECT TO ANY ACTION, CLAIM, SUIT OR PROCEEDING ON, ARISING OUT OF OR RELATING TO THIS GUARANTY OR THE GUARANTEED OBLIGATIONS.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69" w:right="239" w:bottom="1440" w:gutter="0" w:footer="0" w:header="0"/>
        </w:sectPr>
      </w:pPr>
    </w:p>
    <w:bookmarkStart w:id="228" w:name="page229"/>
    <w:bookmarkEnd w:id="228"/>
    <w:p>
      <w:pPr>
        <w:ind w:right="20" w:firstLine="648"/>
        <w:spacing w:after="0" w:line="251" w:lineRule="auto"/>
        <w:rPr>
          <w:sz w:val="20"/>
          <w:szCs w:val="20"/>
          <w:color w:val="auto"/>
        </w:rPr>
      </w:pPr>
      <w:r>
        <w:rPr>
          <w:rFonts w:ascii="Arial" w:cs="Arial" w:eastAsia="Arial" w:hAnsi="Arial"/>
          <w:sz w:val="22"/>
          <w:szCs w:val="22"/>
          <w:color w:val="auto"/>
        </w:rPr>
        <w:t>IN WITNESS WHEREOF, each Guarantor has caused this Guaranty to be executed and delivered as of the date first above written.</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Address:</w:t>
            </w:r>
          </w:p>
        </w:tc>
        <w:tc>
          <w:tcPr>
            <w:tcW w:w="2860" w:type="dxa"/>
            <w:vAlign w:val="bottom"/>
          </w:tcPr>
          <w:p>
            <w:pPr>
              <w:spacing w:after="0"/>
              <w:rPr>
                <w:sz w:val="23"/>
                <w:szCs w:val="23"/>
                <w:color w:val="auto"/>
              </w:rPr>
            </w:pP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AMERICAN ASSETS TRUST, INC.</w:t>
            </w:r>
          </w:p>
        </w:tc>
      </w:tr>
      <w:tr>
        <w:trPr>
          <w:trHeight w:val="605"/>
        </w:trPr>
        <w:tc>
          <w:tcPr>
            <w:tcW w:w="3860" w:type="dxa"/>
            <w:vAlign w:val="bottom"/>
            <w:gridSpan w:val="2"/>
          </w:tcPr>
          <w:p>
            <w:pPr>
              <w:spacing w:after="0"/>
              <w:rPr>
                <w:sz w:val="20"/>
                <w:szCs w:val="20"/>
                <w:color w:val="auto"/>
              </w:rPr>
            </w:pPr>
            <w:r>
              <w:rPr>
                <w:rFonts w:ascii="Arial" w:cs="Arial" w:eastAsia="Arial" w:hAnsi="Arial"/>
                <w:sz w:val="22"/>
                <w:szCs w:val="22"/>
                <w:color w:val="auto"/>
              </w:rPr>
              <w:t>11455 El Camino Real</w:t>
            </w:r>
          </w:p>
        </w:tc>
        <w:tc>
          <w:tcPr>
            <w:tcW w:w="2400" w:type="dxa"/>
            <w:vAlign w:val="bottom"/>
            <w:gridSpan w:val="2"/>
          </w:tcPr>
          <w:p>
            <w:pPr>
              <w:ind w:left="680"/>
              <w:spacing w:after="0"/>
              <w:rPr>
                <w:sz w:val="20"/>
                <w:szCs w:val="20"/>
                <w:color w:val="auto"/>
              </w:rPr>
            </w:pPr>
            <w:r>
              <w:rPr>
                <w:rFonts w:ascii="Arial" w:cs="Arial" w:eastAsia="Arial" w:hAnsi="Arial"/>
                <w:sz w:val="22"/>
                <w:szCs w:val="22"/>
                <w:color w:val="auto"/>
              </w:rPr>
              <w:t>By:</w:t>
            </w:r>
          </w:p>
        </w:tc>
        <w:tc>
          <w:tcPr>
            <w:tcW w:w="5080" w:type="dxa"/>
            <w:vAlign w:val="bottom"/>
          </w:tcPr>
          <w:p>
            <w:pPr>
              <w:spacing w:after="0"/>
              <w:rPr>
                <w:sz w:val="24"/>
                <w:szCs w:val="24"/>
                <w:color w:val="auto"/>
              </w:rPr>
            </w:pP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Suite 200</w:t>
            </w:r>
          </w:p>
        </w:tc>
        <w:tc>
          <w:tcPr>
            <w:tcW w:w="2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Borders>
              <w:top w:val="single" w:sz="8" w:color="auto"/>
            </w:tcBorders>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3860" w:type="dxa"/>
            <w:vAlign w:val="bottom"/>
            <w:gridSpan w:val="2"/>
          </w:tcPr>
          <w:p>
            <w:pPr>
              <w:spacing w:after="0"/>
              <w:rPr>
                <w:sz w:val="20"/>
                <w:szCs w:val="20"/>
                <w:color w:val="auto"/>
              </w:rPr>
            </w:pPr>
            <w:r>
              <w:rPr>
                <w:rFonts w:ascii="Arial" w:cs="Arial" w:eastAsia="Arial" w:hAnsi="Arial"/>
                <w:sz w:val="22"/>
                <w:szCs w:val="22"/>
                <w:color w:val="auto"/>
              </w:rPr>
              <w:t>San Diego, CA 92130</w:t>
            </w:r>
          </w:p>
        </w:tc>
        <w:tc>
          <w:tcPr>
            <w:tcW w:w="156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297"/>
        </w:trPr>
        <w:tc>
          <w:tcPr>
            <w:tcW w:w="3860" w:type="dxa"/>
            <w:vAlign w:val="bottom"/>
            <w:gridSpan w:val="2"/>
          </w:tcPr>
          <w:p>
            <w:pPr>
              <w:spacing w:after="0"/>
              <w:rPr>
                <w:sz w:val="20"/>
                <w:szCs w:val="20"/>
                <w:color w:val="auto"/>
              </w:rPr>
            </w:pPr>
            <w:r>
              <w:rPr>
                <w:rFonts w:ascii="Arial" w:cs="Arial" w:eastAsia="Arial" w:hAnsi="Arial"/>
                <w:sz w:val="22"/>
                <w:szCs w:val="22"/>
                <w:color w:val="auto"/>
              </w:rPr>
              <w:t>Fax No.: (858) 350-2620</w:t>
            </w: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08"/>
        </w:trPr>
        <w:tc>
          <w:tcPr>
            <w:tcW w:w="3860" w:type="dxa"/>
            <w:vAlign w:val="bottom"/>
            <w:gridSpan w:val="2"/>
          </w:tcPr>
          <w:p>
            <w:pPr>
              <w:spacing w:after="0"/>
              <w:rPr>
                <w:sz w:val="20"/>
                <w:szCs w:val="20"/>
                <w:color w:val="auto"/>
              </w:rPr>
            </w:pPr>
            <w:r>
              <w:rPr>
                <w:rFonts w:ascii="Arial" w:cs="Arial" w:eastAsia="Arial" w:hAnsi="Arial"/>
                <w:sz w:val="22"/>
                <w:szCs w:val="22"/>
                <w:color w:val="auto"/>
              </w:rPr>
              <w:t>Tel. No.: (858) 350-2600</w:t>
            </w:r>
          </w:p>
        </w:tc>
        <w:tc>
          <w:tcPr>
            <w:tcW w:w="2400" w:type="dxa"/>
            <w:vAlign w:val="bottom"/>
            <w:gridSpan w:val="2"/>
          </w:tcPr>
          <w:p>
            <w:pPr>
              <w:ind w:left="680"/>
              <w:spacing w:after="0"/>
              <w:rPr>
                <w:sz w:val="20"/>
                <w:szCs w:val="20"/>
                <w:color w:val="auto"/>
              </w:rPr>
            </w:pPr>
            <w:r>
              <w:rPr>
                <w:rFonts w:ascii="Arial" w:cs="Arial" w:eastAsia="Arial" w:hAnsi="Arial"/>
                <w:sz w:val="22"/>
                <w:szCs w:val="22"/>
                <w:color w:val="auto"/>
              </w:rPr>
              <w:t>By:</w:t>
            </w:r>
          </w:p>
        </w:tc>
        <w:tc>
          <w:tcPr>
            <w:tcW w:w="5080" w:type="dxa"/>
            <w:vAlign w:val="bottom"/>
          </w:tcPr>
          <w:p>
            <w:pPr>
              <w:spacing w:after="0"/>
              <w:rPr>
                <w:sz w:val="24"/>
                <w:szCs w:val="24"/>
                <w:color w:val="auto"/>
              </w:rPr>
            </w:pPr>
          </w:p>
        </w:tc>
      </w:tr>
      <w:tr>
        <w:trPr>
          <w:trHeight w:val="280"/>
        </w:trPr>
        <w:tc>
          <w:tcPr>
            <w:tcW w:w="3860" w:type="dxa"/>
            <w:vAlign w:val="bottom"/>
            <w:gridSpan w:val="2"/>
          </w:tcPr>
          <w:p>
            <w:pPr>
              <w:spacing w:after="0"/>
              <w:rPr>
                <w:sz w:val="20"/>
                <w:szCs w:val="20"/>
                <w:color w:val="auto"/>
              </w:rPr>
            </w:pPr>
            <w:r>
              <w:rPr>
                <w:rFonts w:ascii="Arial" w:cs="Arial" w:eastAsia="Arial" w:hAnsi="Arial"/>
                <w:sz w:val="22"/>
                <w:szCs w:val="22"/>
                <w:color w:val="auto"/>
              </w:rPr>
              <w:t>Email: rbarton@americanassets.com</w:t>
            </w:r>
          </w:p>
        </w:tc>
        <w:tc>
          <w:tcPr>
            <w:tcW w:w="1560" w:type="dxa"/>
            <w:vAlign w:val="bottom"/>
          </w:tcPr>
          <w:p>
            <w:pPr>
              <w:spacing w:after="0"/>
              <w:rPr>
                <w:sz w:val="24"/>
                <w:szCs w:val="24"/>
                <w:color w:val="auto"/>
              </w:rPr>
            </w:pP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Borders>
              <w:top w:val="single" w:sz="8" w:color="auto"/>
            </w:tcBorders>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Attention:</w:t>
            </w:r>
          </w:p>
        </w:tc>
        <w:tc>
          <w:tcPr>
            <w:tcW w:w="2860" w:type="dxa"/>
            <w:vAlign w:val="bottom"/>
          </w:tcPr>
          <w:p>
            <w:pPr>
              <w:ind w:left="140"/>
              <w:spacing w:after="0"/>
              <w:rPr>
                <w:sz w:val="20"/>
                <w:szCs w:val="20"/>
                <w:color w:val="auto"/>
              </w:rPr>
            </w:pPr>
            <w:r>
              <w:rPr>
                <w:rFonts w:ascii="Arial" w:cs="Arial" w:eastAsia="Arial" w:hAnsi="Arial"/>
                <w:sz w:val="22"/>
                <w:szCs w:val="22"/>
                <w:color w:val="auto"/>
              </w:rPr>
              <w:t>Robert F. Barton,</w:t>
            </w:r>
          </w:p>
        </w:tc>
        <w:tc>
          <w:tcPr>
            <w:tcW w:w="156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1000" w:type="dxa"/>
            <w:vAlign w:val="bottom"/>
          </w:tcPr>
          <w:p>
            <w:pPr>
              <w:spacing w:after="0"/>
              <w:rPr>
                <w:sz w:val="24"/>
                <w:szCs w:val="24"/>
                <w:color w:val="auto"/>
              </w:rPr>
            </w:pPr>
          </w:p>
        </w:tc>
        <w:tc>
          <w:tcPr>
            <w:tcW w:w="2860" w:type="dxa"/>
            <w:vAlign w:val="bottom"/>
          </w:tcPr>
          <w:p>
            <w:pPr>
              <w:ind w:left="140"/>
              <w:spacing w:after="0"/>
              <w:rPr>
                <w:sz w:val="20"/>
                <w:szCs w:val="20"/>
                <w:color w:val="auto"/>
              </w:rPr>
            </w:pPr>
            <w:r>
              <w:rPr>
                <w:rFonts w:ascii="Arial" w:cs="Arial" w:eastAsia="Arial" w:hAnsi="Arial"/>
                <w:sz w:val="22"/>
                <w:szCs w:val="22"/>
                <w:color w:val="auto"/>
              </w:rPr>
              <w:t>Chief Financial Officer</w:t>
            </w: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1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AMERICAN ASSETS TRUST MANAGEMENT LLC</w:t>
            </w:r>
          </w:p>
        </w:tc>
      </w:tr>
      <w:tr>
        <w:trPr>
          <w:trHeight w:val="540"/>
        </w:trPr>
        <w:tc>
          <w:tcPr>
            <w:tcW w:w="3860" w:type="dxa"/>
            <w:vAlign w:val="bottom"/>
            <w:gridSpan w:val="2"/>
          </w:tcPr>
          <w:p>
            <w:pPr>
              <w:spacing w:after="0"/>
              <w:rPr>
                <w:sz w:val="20"/>
                <w:szCs w:val="20"/>
                <w:color w:val="auto"/>
              </w:rPr>
            </w:pPr>
            <w:r>
              <w:rPr>
                <w:rFonts w:ascii="Arial" w:cs="Arial" w:eastAsia="Arial" w:hAnsi="Arial"/>
                <w:sz w:val="22"/>
                <w:szCs w:val="22"/>
                <w:color w:val="auto"/>
              </w:rPr>
              <w:t>with a copy to:</w:t>
            </w: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PACIFIC DEL MAR ASSETS LLC</w:t>
            </w:r>
          </w:p>
        </w:tc>
      </w:tr>
      <w:tr>
        <w:trPr>
          <w:trHeight w:val="297"/>
        </w:trPr>
        <w:tc>
          <w:tcPr>
            <w:tcW w:w="1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PACIFIC CARMEL MOUNTAIN ASSETS LLC</w:t>
            </w:r>
          </w:p>
        </w:tc>
      </w:tr>
      <w:tr>
        <w:trPr>
          <w:trHeight w:val="297"/>
        </w:trPr>
        <w:tc>
          <w:tcPr>
            <w:tcW w:w="3860" w:type="dxa"/>
            <w:vAlign w:val="bottom"/>
            <w:gridSpan w:val="2"/>
          </w:tcPr>
          <w:p>
            <w:pPr>
              <w:spacing w:after="0"/>
              <w:rPr>
                <w:sz w:val="20"/>
                <w:szCs w:val="20"/>
                <w:color w:val="auto"/>
              </w:rPr>
            </w:pPr>
            <w:r>
              <w:rPr>
                <w:rFonts w:ascii="Arial" w:cs="Arial" w:eastAsia="Arial" w:hAnsi="Arial"/>
                <w:sz w:val="22"/>
                <w:szCs w:val="22"/>
                <w:color w:val="auto"/>
              </w:rPr>
              <w:t>11455 El Camino Real</w:t>
            </w: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PACIFIC SOLANA BEACH ASSETS LLC</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Suite 200</w:t>
            </w:r>
          </w:p>
        </w:tc>
        <w:tc>
          <w:tcPr>
            <w:tcW w:w="2860" w:type="dxa"/>
            <w:vAlign w:val="bottom"/>
          </w:tcPr>
          <w:p>
            <w:pPr>
              <w:spacing w:after="0"/>
              <w:rPr>
                <w:sz w:val="24"/>
                <w:szCs w:val="24"/>
                <w:color w:val="auto"/>
              </w:rPr>
            </w:pP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RANCHO CARMEL PLAZA LLC</w:t>
            </w:r>
          </w:p>
        </w:tc>
      </w:tr>
      <w:tr>
        <w:trPr>
          <w:trHeight w:val="297"/>
        </w:trPr>
        <w:tc>
          <w:tcPr>
            <w:tcW w:w="3860" w:type="dxa"/>
            <w:vAlign w:val="bottom"/>
            <w:gridSpan w:val="2"/>
          </w:tcPr>
          <w:p>
            <w:pPr>
              <w:spacing w:after="0"/>
              <w:rPr>
                <w:sz w:val="20"/>
                <w:szCs w:val="20"/>
                <w:color w:val="auto"/>
              </w:rPr>
            </w:pPr>
            <w:r>
              <w:rPr>
                <w:rFonts w:ascii="Arial" w:cs="Arial" w:eastAsia="Arial" w:hAnsi="Arial"/>
                <w:sz w:val="22"/>
                <w:szCs w:val="22"/>
                <w:color w:val="auto"/>
              </w:rPr>
              <w:t>San Diego, CA 92130</w:t>
            </w: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PACIFIC OCEANSIDE HOLDINGS LLC</w:t>
            </w:r>
          </w:p>
        </w:tc>
      </w:tr>
      <w:tr>
        <w:trPr>
          <w:trHeight w:val="297"/>
        </w:trPr>
        <w:tc>
          <w:tcPr>
            <w:tcW w:w="3860" w:type="dxa"/>
            <w:vAlign w:val="bottom"/>
            <w:gridSpan w:val="2"/>
          </w:tcPr>
          <w:p>
            <w:pPr>
              <w:spacing w:after="0"/>
              <w:rPr>
                <w:sz w:val="20"/>
                <w:szCs w:val="20"/>
                <w:color w:val="auto"/>
              </w:rPr>
            </w:pPr>
            <w:r>
              <w:rPr>
                <w:rFonts w:ascii="Arial" w:cs="Arial" w:eastAsia="Arial" w:hAnsi="Arial"/>
                <w:sz w:val="22"/>
                <w:szCs w:val="22"/>
                <w:color w:val="auto"/>
              </w:rPr>
              <w:t>Fax No.: (858) 350-2620</w:t>
            </w: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DEL MONTE SAN JOSE HOLDINGS LLC</w:t>
            </w:r>
          </w:p>
        </w:tc>
      </w:tr>
      <w:tr>
        <w:trPr>
          <w:trHeight w:val="297"/>
        </w:trPr>
        <w:tc>
          <w:tcPr>
            <w:tcW w:w="3860" w:type="dxa"/>
            <w:vAlign w:val="bottom"/>
            <w:gridSpan w:val="2"/>
          </w:tcPr>
          <w:p>
            <w:pPr>
              <w:spacing w:after="0"/>
              <w:rPr>
                <w:sz w:val="20"/>
                <w:szCs w:val="20"/>
                <w:color w:val="auto"/>
              </w:rPr>
            </w:pPr>
            <w:r>
              <w:rPr>
                <w:rFonts w:ascii="Arial" w:cs="Arial" w:eastAsia="Arial" w:hAnsi="Arial"/>
                <w:sz w:val="22"/>
                <w:szCs w:val="22"/>
                <w:color w:val="auto"/>
              </w:rPr>
              <w:t>Tel. No.: (858) 350-2600</w:t>
            </w: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KEARNY MESA BUSINESS CENTER LLC</w:t>
            </w:r>
          </w:p>
        </w:tc>
      </w:tr>
      <w:tr>
        <w:trPr>
          <w:trHeight w:val="297"/>
        </w:trPr>
        <w:tc>
          <w:tcPr>
            <w:tcW w:w="3860" w:type="dxa"/>
            <w:vAlign w:val="bottom"/>
            <w:gridSpan w:val="2"/>
          </w:tcPr>
          <w:p>
            <w:pPr>
              <w:spacing w:after="0"/>
              <w:rPr>
                <w:sz w:val="20"/>
                <w:szCs w:val="20"/>
                <w:color w:val="auto"/>
              </w:rPr>
            </w:pPr>
            <w:r>
              <w:rPr>
                <w:rFonts w:ascii="Arial" w:cs="Arial" w:eastAsia="Arial" w:hAnsi="Arial"/>
                <w:sz w:val="22"/>
                <w:szCs w:val="22"/>
                <w:color w:val="auto"/>
              </w:rPr>
              <w:t>Email: awyll@americanassets.com</w:t>
            </w: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DEL MONTE CENTER HOLDINGS, LLC</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Attention:</w:t>
            </w:r>
          </w:p>
        </w:tc>
        <w:tc>
          <w:tcPr>
            <w:tcW w:w="2860" w:type="dxa"/>
            <w:vAlign w:val="bottom"/>
          </w:tcPr>
          <w:p>
            <w:pPr>
              <w:ind w:left="140"/>
              <w:spacing w:after="0"/>
              <w:rPr>
                <w:sz w:val="20"/>
                <w:szCs w:val="20"/>
                <w:color w:val="auto"/>
              </w:rPr>
            </w:pPr>
            <w:r>
              <w:rPr>
                <w:rFonts w:ascii="Arial" w:cs="Arial" w:eastAsia="Arial" w:hAnsi="Arial"/>
                <w:sz w:val="22"/>
                <w:szCs w:val="22"/>
                <w:color w:val="auto"/>
              </w:rPr>
              <w:t>Adam Wyll</w:t>
            </w: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BEACH WALK HOLDINGS LLC</w:t>
            </w:r>
          </w:p>
        </w:tc>
      </w:tr>
      <w:tr>
        <w:trPr>
          <w:trHeight w:val="297"/>
        </w:trPr>
        <w:tc>
          <w:tcPr>
            <w:tcW w:w="1000" w:type="dxa"/>
            <w:vAlign w:val="bottom"/>
          </w:tcPr>
          <w:p>
            <w:pPr>
              <w:spacing w:after="0"/>
              <w:rPr>
                <w:sz w:val="24"/>
                <w:szCs w:val="24"/>
                <w:color w:val="auto"/>
              </w:rPr>
            </w:pPr>
          </w:p>
        </w:tc>
        <w:tc>
          <w:tcPr>
            <w:tcW w:w="2860" w:type="dxa"/>
            <w:vAlign w:val="bottom"/>
          </w:tcPr>
          <w:p>
            <w:pPr>
              <w:ind w:left="140"/>
              <w:spacing w:after="0"/>
              <w:rPr>
                <w:sz w:val="20"/>
                <w:szCs w:val="20"/>
                <w:color w:val="auto"/>
              </w:rPr>
            </w:pPr>
            <w:r>
              <w:rPr>
                <w:rFonts w:ascii="Arial" w:cs="Arial" w:eastAsia="Arial" w:hAnsi="Arial"/>
                <w:sz w:val="22"/>
                <w:szCs w:val="22"/>
                <w:color w:val="auto"/>
              </w:rPr>
              <w:t>SVP, General Counsel</w:t>
            </w: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ICW PLAZA MERGER SUB LLC</w:t>
            </w:r>
          </w:p>
        </w:tc>
      </w:tr>
      <w:tr>
        <w:trPr>
          <w:trHeight w:val="297"/>
        </w:trPr>
        <w:tc>
          <w:tcPr>
            <w:tcW w:w="1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PACIFIC SOUTH COURT ASSETS LLC</w:t>
            </w:r>
          </w:p>
        </w:tc>
      </w:tr>
      <w:tr>
        <w:trPr>
          <w:trHeight w:val="297"/>
        </w:trPr>
        <w:tc>
          <w:tcPr>
            <w:tcW w:w="1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480" w:type="dxa"/>
            <w:vAlign w:val="bottom"/>
            <w:gridSpan w:val="3"/>
          </w:tcPr>
          <w:p>
            <w:pPr>
              <w:ind w:left="680"/>
              <w:spacing w:after="0"/>
              <w:rPr>
                <w:sz w:val="20"/>
                <w:szCs w:val="20"/>
                <w:color w:val="auto"/>
              </w:rPr>
            </w:pPr>
            <w:r>
              <w:rPr>
                <w:rFonts w:ascii="Arial" w:cs="Arial" w:eastAsia="Arial" w:hAnsi="Arial"/>
                <w:sz w:val="22"/>
                <w:szCs w:val="22"/>
                <w:color w:val="auto"/>
              </w:rPr>
              <w:t>PACIFIC TORREY DAYCARE ASSETS LLC</w:t>
            </w:r>
          </w:p>
        </w:tc>
      </w:tr>
    </w:tbl>
    <w:p>
      <w:pPr>
        <w:spacing w:after="0" w:line="2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LANDMARK VENTURE JV,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PACIFIC FIRECREEK HOLDINGS,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IMPERIAL STRAND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MARINER’S POINT,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PACIFIC TORREY RESERVE WEST ASSETS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BROADWAY 101 SORRENTO HOLDINGS,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BROADWAY 225 SORRENTO HOLDINGS,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BROADWAY 101 STONECREST HOLDINGS,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BROADWAY 225 STONECREST HOLDINGS,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EBW HOTEL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WAIKELE VENTURE HOLDINGS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VISTA HACIENDA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PACIFIC SANTA FE ASSETS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SB CORPORATE CENTRE LLC</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SB TOWNE CENTRE LLC</w:t>
      </w:r>
    </w:p>
    <w:p>
      <w:pPr>
        <w:spacing w:after="0" w:line="200" w:lineRule="exact"/>
        <w:rPr>
          <w:sz w:val="20"/>
          <w:szCs w:val="20"/>
          <w:color w:val="auto"/>
        </w:rPr>
      </w:pPr>
    </w:p>
    <w:p>
      <w:pPr>
        <w:spacing w:after="0" w:line="38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E-1</w:t>
      </w:r>
    </w:p>
    <w:p>
      <w:pPr>
        <w:sectPr>
          <w:pgSz w:w="11900" w:h="16838" w:orient="portrait"/>
          <w:cols w:equalWidth="0" w:num="1">
            <w:col w:w="11340"/>
          </w:cols>
          <w:pgMar w:left="320" w:top="1064" w:right="239" w:bottom="1440" w:gutter="0" w:footer="0" w:header="0"/>
        </w:sectPr>
      </w:pPr>
    </w:p>
    <w:bookmarkStart w:id="229" w:name="page230"/>
    <w:bookmarkEnd w:id="229"/>
    <w:tbl>
      <w:tblPr>
        <w:tblLayout w:type="fixed"/>
        <w:tblInd w:w="3420" w:type="dxa"/>
        <w:tblCellMar>
          <w:top w:w="0" w:type="dxa"/>
          <w:left w:w="0" w:type="dxa"/>
          <w:bottom w:w="0" w:type="dxa"/>
          <w:right w:w="0" w:type="dxa"/>
        </w:tblCellMar>
      </w:tblP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63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4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PACIFIC TORREY RESERVE WEST HOLDINGS, L.P.</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PACIFIC TORREY RESERVE WEST</w:t>
            </w:r>
          </w:p>
        </w:tc>
      </w:tr>
      <w:tr>
        <w:trPr>
          <w:trHeight w:val="297"/>
        </w:trPr>
        <w:tc>
          <w:tcPr>
            <w:tcW w:w="8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ASSETS LLC, its General Partner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CARMEL COUNTRY PLAZA, L.P.</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PACIFIC DEL MAR ASSETS LLC, its General Partner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837"/>
        </w:trPr>
        <w:tc>
          <w:tcPr>
            <w:tcW w:w="8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rPr>
              <w:t>E-2</w:t>
            </w:r>
          </w:p>
        </w:tc>
        <w:tc>
          <w:tcPr>
            <w:tcW w:w="5080" w:type="dxa"/>
            <w:vAlign w:val="bottom"/>
          </w:tcPr>
          <w:p>
            <w:pPr>
              <w:spacing w:after="0"/>
              <w:rPr>
                <w:sz w:val="24"/>
                <w:szCs w:val="24"/>
                <w:color w:val="auto"/>
              </w:rPr>
            </w:pPr>
          </w:p>
        </w:tc>
      </w:tr>
    </w:tbl>
    <w:p>
      <w:pPr>
        <w:sectPr>
          <w:pgSz w:w="11900" w:h="16838" w:orient="portrait"/>
          <w:cols w:equalWidth="0" w:num="1">
            <w:col w:w="10220"/>
          </w:cols>
          <w:pgMar w:left="1440" w:top="820" w:right="239" w:bottom="1440" w:gutter="0" w:footer="0" w:header="0"/>
        </w:sectPr>
      </w:pPr>
    </w:p>
    <w:bookmarkStart w:id="230" w:name="page231"/>
    <w:bookmarkEnd w:id="230"/>
    <w:p>
      <w:pPr>
        <w:spacing w:after="0" w:line="1" w:lineRule="exact"/>
        <w:rPr>
          <w:sz w:val="20"/>
          <w:szCs w:val="20"/>
          <w:color w:val="auto"/>
        </w:rPr>
      </w:pPr>
    </w:p>
    <w:tbl>
      <w:tblPr>
        <w:tblLayout w:type="fixed"/>
        <w:tblInd w:w="3420" w:type="dxa"/>
        <w:tblCellMar>
          <w:top w:w="0" w:type="dxa"/>
          <w:left w:w="0" w:type="dxa"/>
          <w:bottom w:w="0" w:type="dxa"/>
          <w:right w:w="0" w:type="dxa"/>
        </w:tblCellMar>
      </w:tblP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55"/>
        </w:trPr>
        <w:tc>
          <w:tcPr>
            <w:tcW w:w="8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74"/>
        </w:trPr>
        <w:tc>
          <w:tcPr>
            <w:tcW w:w="880" w:type="dxa"/>
            <w:vAlign w:val="bottom"/>
          </w:tcPr>
          <w:p>
            <w:pPr>
              <w:spacing w:after="0"/>
              <w:rPr>
                <w:sz w:val="23"/>
                <w:szCs w:val="23"/>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PACIFIC CARMEL MOUNTAIN HOLDINGS, L.P.</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PACIFIC CARMEL MOUNTAIN</w:t>
            </w:r>
          </w:p>
        </w:tc>
      </w:tr>
      <w:tr>
        <w:trPr>
          <w:trHeight w:val="297"/>
        </w:trPr>
        <w:tc>
          <w:tcPr>
            <w:tcW w:w="8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ASSETS LLC, its General Partner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PACIFIC SOLANA BEACH HOLDINGS, L.P.</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PACIFIC SOLANA BEACH</w:t>
            </w:r>
          </w:p>
        </w:tc>
      </w:tr>
      <w:tr>
        <w:trPr>
          <w:trHeight w:val="297"/>
        </w:trPr>
        <w:tc>
          <w:tcPr>
            <w:tcW w:w="8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ASSETS LLC, its General Partner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E-3</w:t>
      </w:r>
    </w:p>
    <w:p>
      <w:pPr>
        <w:sectPr>
          <w:pgSz w:w="11900" w:h="16838" w:orient="portrait"/>
          <w:cols w:equalWidth="0" w:num="1">
            <w:col w:w="10220"/>
          </w:cols>
          <w:pgMar w:left="1440" w:top="821" w:right="239" w:bottom="1440" w:gutter="0" w:footer="0" w:header="0"/>
        </w:sectPr>
      </w:pPr>
    </w:p>
    <w:bookmarkStart w:id="231" w:name="page232"/>
    <w:bookmarkEnd w:id="231"/>
    <w:tbl>
      <w:tblPr>
        <w:tblLayout w:type="fixed"/>
        <w:tblInd w:w="342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10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Name:</w:t>
            </w:r>
          </w:p>
        </w:tc>
        <w:tc>
          <w:tcPr>
            <w:tcW w:w="4900" w:type="dxa"/>
            <w:vAlign w:val="bottom"/>
          </w:tcPr>
          <w:p>
            <w:pPr>
              <w:ind w:left="4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Title:</w:t>
            </w:r>
          </w:p>
        </w:tc>
        <w:tc>
          <w:tcPr>
            <w:tcW w:w="4900" w:type="dxa"/>
            <w:vAlign w:val="bottom"/>
          </w:tcPr>
          <w:p>
            <w:pPr>
              <w:ind w:left="4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10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Name:</w:t>
            </w:r>
          </w:p>
        </w:tc>
        <w:tc>
          <w:tcPr>
            <w:tcW w:w="4900" w:type="dxa"/>
            <w:vAlign w:val="bottom"/>
          </w:tcPr>
          <w:p>
            <w:pPr>
              <w:ind w:left="4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Title:</w:t>
            </w:r>
          </w:p>
        </w:tc>
        <w:tc>
          <w:tcPr>
            <w:tcW w:w="4900" w:type="dxa"/>
            <w:vAlign w:val="bottom"/>
          </w:tcPr>
          <w:p>
            <w:pPr>
              <w:ind w:left="4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00" w:type="dxa"/>
            <w:vAlign w:val="bottom"/>
          </w:tcPr>
          <w:p>
            <w:pPr>
              <w:ind w:left="4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RANCHO CARMEL HOLDINGS, LLC</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RANCHO CARMEL PLAZA LLC,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10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Name:</w:t>
            </w:r>
          </w:p>
        </w:tc>
        <w:tc>
          <w:tcPr>
            <w:tcW w:w="4900" w:type="dxa"/>
            <w:vAlign w:val="bottom"/>
          </w:tcPr>
          <w:p>
            <w:pPr>
              <w:ind w:left="4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Title:</w:t>
            </w:r>
          </w:p>
        </w:tc>
        <w:tc>
          <w:tcPr>
            <w:tcW w:w="4900" w:type="dxa"/>
            <w:vAlign w:val="bottom"/>
          </w:tcPr>
          <w:p>
            <w:pPr>
              <w:ind w:left="40"/>
              <w:spacing w:after="0"/>
              <w:rPr>
                <w:sz w:val="20"/>
                <w:szCs w:val="20"/>
                <w:color w:val="auto"/>
              </w:rPr>
            </w:pPr>
            <w:r>
              <w:rPr>
                <w:rFonts w:ascii="Arial" w:cs="Arial" w:eastAsia="Arial" w:hAnsi="Arial"/>
                <w:sz w:val="22"/>
                <w:szCs w:val="22"/>
                <w:color w:val="auto"/>
              </w:rPr>
              <w:t>Chief Executive Office &amp; President</w:t>
            </w:r>
          </w:p>
        </w:tc>
      </w:tr>
      <w:tr>
        <w:trPr>
          <w:trHeight w:val="578"/>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10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Name:</w:t>
            </w:r>
          </w:p>
        </w:tc>
        <w:tc>
          <w:tcPr>
            <w:tcW w:w="4900" w:type="dxa"/>
            <w:vAlign w:val="bottom"/>
          </w:tcPr>
          <w:p>
            <w:pPr>
              <w:ind w:left="4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Title:</w:t>
            </w:r>
          </w:p>
        </w:tc>
        <w:tc>
          <w:tcPr>
            <w:tcW w:w="4900" w:type="dxa"/>
            <w:vAlign w:val="bottom"/>
          </w:tcPr>
          <w:p>
            <w:pPr>
              <w:ind w:left="4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00" w:type="dxa"/>
            <w:vAlign w:val="bottom"/>
          </w:tcPr>
          <w:p>
            <w:pPr>
              <w:ind w:left="40"/>
              <w:spacing w:after="0"/>
              <w:rPr>
                <w:sz w:val="20"/>
                <w:szCs w:val="20"/>
                <w:color w:val="auto"/>
              </w:rPr>
            </w:pPr>
            <w:r>
              <w:rPr>
                <w:rFonts w:ascii="Arial" w:cs="Arial" w:eastAsia="Arial" w:hAnsi="Arial"/>
                <w:sz w:val="22"/>
                <w:szCs w:val="22"/>
                <w:color w:val="auto"/>
              </w:rPr>
              <w:t>Executive Vice President</w:t>
            </w:r>
          </w:p>
        </w:tc>
      </w:tr>
      <w:tr>
        <w:trPr>
          <w:trHeight w:val="594"/>
        </w:trPr>
        <w:tc>
          <w:tcPr>
            <w:tcW w:w="1900" w:type="dxa"/>
            <w:vAlign w:val="bottom"/>
            <w:gridSpan w:val="2"/>
          </w:tcPr>
          <w:p>
            <w:pPr>
              <w:spacing w:after="0"/>
              <w:rPr>
                <w:sz w:val="20"/>
                <w:szCs w:val="20"/>
                <w:color w:val="auto"/>
              </w:rPr>
            </w:pPr>
            <w:r>
              <w:rPr>
                <w:rFonts w:ascii="Arial" w:cs="Arial" w:eastAsia="Arial" w:hAnsi="Arial"/>
                <w:sz w:val="22"/>
                <w:szCs w:val="22"/>
                <w:color w:val="auto"/>
                <w:w w:val="96"/>
              </w:rPr>
              <w:t>ABW LEWERS LLC</w:t>
            </w:r>
          </w:p>
        </w:tc>
        <w:tc>
          <w:tcPr>
            <w:tcW w:w="4900" w:type="dxa"/>
            <w:vAlign w:val="bottom"/>
          </w:tcPr>
          <w:p>
            <w:pPr>
              <w:spacing w:after="0"/>
              <w:rPr>
                <w:sz w:val="24"/>
                <w:szCs w:val="24"/>
                <w:color w:val="auto"/>
              </w:rPr>
            </w:pP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BEACH WALK HOLDINGS LLC, its Managing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10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Name:</w:t>
            </w:r>
          </w:p>
        </w:tc>
        <w:tc>
          <w:tcPr>
            <w:tcW w:w="4900" w:type="dxa"/>
            <w:vAlign w:val="bottom"/>
          </w:tcPr>
          <w:p>
            <w:pPr>
              <w:ind w:left="4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Title:</w:t>
            </w:r>
          </w:p>
        </w:tc>
        <w:tc>
          <w:tcPr>
            <w:tcW w:w="4900" w:type="dxa"/>
            <w:vAlign w:val="bottom"/>
          </w:tcPr>
          <w:p>
            <w:pPr>
              <w:ind w:left="40"/>
              <w:spacing w:after="0"/>
              <w:rPr>
                <w:sz w:val="20"/>
                <w:szCs w:val="20"/>
                <w:color w:val="auto"/>
              </w:rPr>
            </w:pPr>
            <w:r>
              <w:rPr>
                <w:rFonts w:ascii="Arial" w:cs="Arial" w:eastAsia="Arial" w:hAnsi="Arial"/>
                <w:sz w:val="22"/>
                <w:szCs w:val="22"/>
                <w:color w:val="auto"/>
              </w:rPr>
              <w:t>Chief Executive Office &amp;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E-4</w:t>
      </w:r>
    </w:p>
    <w:p>
      <w:pPr>
        <w:sectPr>
          <w:pgSz w:w="11900" w:h="16838" w:orient="portrait"/>
          <w:cols w:equalWidth="0" w:num="1">
            <w:col w:w="10220"/>
          </w:cols>
          <w:pgMar w:left="1440" w:top="820" w:right="239" w:bottom="1440" w:gutter="0" w:footer="0" w:header="0"/>
        </w:sectPr>
      </w:pPr>
    </w:p>
    <w:bookmarkStart w:id="232" w:name="page233"/>
    <w:bookmarkEnd w:id="232"/>
    <w:tbl>
      <w:tblPr>
        <w:tblLayout w:type="fixed"/>
        <w:tblInd w:w="342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ABW 2181 HOLDINGS LLC</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ABW LEWERS LLC,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BEACH WALK HOLDINGS LLC, its Managing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ALAMO STONECREST HOLDINGS, LLC</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E-5</w:t>
      </w:r>
    </w:p>
    <w:p>
      <w:pPr>
        <w:sectPr>
          <w:pgSz w:w="11900" w:h="16838" w:orient="portrait"/>
          <w:cols w:equalWidth="0" w:num="1">
            <w:col w:w="10220"/>
          </w:cols>
          <w:pgMar w:left="1440" w:top="820" w:right="239" w:bottom="1440" w:gutter="0" w:footer="0" w:header="0"/>
        </w:sectPr>
      </w:pPr>
    </w:p>
    <w:bookmarkStart w:id="233" w:name="page234"/>
    <w:bookmarkEnd w:id="233"/>
    <w:p>
      <w:pPr>
        <w:jc w:val="center"/>
        <w:ind w:right="240"/>
        <w:spacing w:after="0"/>
        <w:rPr>
          <w:sz w:val="20"/>
          <w:szCs w:val="20"/>
          <w:color w:val="auto"/>
        </w:rPr>
      </w:pPr>
      <w:r>
        <w:rPr>
          <w:rFonts w:ascii="Arial" w:cs="Arial" w:eastAsia="Arial" w:hAnsi="Arial"/>
          <w:sz w:val="21"/>
          <w:szCs w:val="21"/>
          <w:color w:val="auto"/>
        </w:rPr>
        <w:t>ALAMO VISTA HOLDINGS, LLC</w:t>
      </w:r>
    </w:p>
    <w:p>
      <w:pPr>
        <w:spacing w:after="0" w:line="353" w:lineRule="exact"/>
        <w:rPr>
          <w:sz w:val="20"/>
          <w:szCs w:val="20"/>
          <w:color w:val="auto"/>
        </w:rPr>
      </w:pPr>
    </w:p>
    <w:tbl>
      <w:tblPr>
        <w:tblLayout w:type="fixed"/>
        <w:tblInd w:w="3420" w:type="dxa"/>
        <w:tblCellMar>
          <w:top w:w="0" w:type="dxa"/>
          <w:left w:w="0" w:type="dxa"/>
          <w:bottom w:w="0" w:type="dxa"/>
          <w:right w:w="0" w:type="dxa"/>
        </w:tblCellMar>
      </w:tblP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Vista Hacienda LLC, its Sole Member</w:t>
            </w:r>
          </w:p>
        </w:tc>
      </w:tr>
      <w:tr>
        <w:trPr>
          <w:trHeight w:val="581"/>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ICW PLAZA HOLDINGS, LLC</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ICW PLAZA MERGER SUB LLC,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AAT SOLANA 101, LLC</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837"/>
        </w:trPr>
        <w:tc>
          <w:tcPr>
            <w:tcW w:w="8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rPr>
              <w:t>E-6</w:t>
            </w:r>
          </w:p>
        </w:tc>
        <w:tc>
          <w:tcPr>
            <w:tcW w:w="5080" w:type="dxa"/>
            <w:vAlign w:val="bottom"/>
          </w:tcPr>
          <w:p>
            <w:pPr>
              <w:spacing w:after="0"/>
              <w:rPr>
                <w:sz w:val="24"/>
                <w:szCs w:val="24"/>
                <w:color w:val="auto"/>
              </w:rPr>
            </w:pPr>
          </w:p>
        </w:tc>
      </w:tr>
    </w:tbl>
    <w:p>
      <w:pPr>
        <w:sectPr>
          <w:pgSz w:w="11900" w:h="16838" w:orient="portrait"/>
          <w:cols w:equalWidth="0" w:num="1">
            <w:col w:w="10220"/>
          </w:cols>
          <w:pgMar w:left="1440" w:top="821" w:right="239" w:bottom="1440" w:gutter="0" w:footer="0" w:header="0"/>
        </w:sectPr>
      </w:pPr>
    </w:p>
    <w:bookmarkStart w:id="234" w:name="page235"/>
    <w:bookmarkEnd w:id="234"/>
    <w:p>
      <w:pPr>
        <w:spacing w:after="0" w:line="1" w:lineRule="exact"/>
        <w:rPr>
          <w:sz w:val="20"/>
          <w:szCs w:val="20"/>
          <w:color w:val="auto"/>
        </w:rPr>
      </w:pPr>
    </w:p>
    <w:tbl>
      <w:tblPr>
        <w:tblLayout w:type="fixed"/>
        <w:tblInd w:w="3420" w:type="dxa"/>
        <w:tblCellMar>
          <w:top w:w="0" w:type="dxa"/>
          <w:left w:w="0" w:type="dxa"/>
          <w:bottom w:w="0" w:type="dxa"/>
          <w:right w:w="0" w:type="dxa"/>
        </w:tblCellMar>
      </w:tblP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AAT GEARY MARKETPLACE, LLC</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AAT TORREY RESERVE 5, LLC</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bl>
    <w:p>
      <w:pPr>
        <w:spacing w:after="0" w:line="200" w:lineRule="exact"/>
        <w:rPr>
          <w:sz w:val="20"/>
          <w:szCs w:val="20"/>
          <w:color w:val="auto"/>
        </w:rPr>
      </w:pPr>
    </w:p>
    <w:p>
      <w:pPr>
        <w:sectPr>
          <w:pgSz w:w="11900" w:h="16838" w:orient="portrait"/>
          <w:cols w:equalWidth="0" w:num="1">
            <w:col w:w="10220"/>
          </w:cols>
          <w:pgMar w:left="1440" w:top="8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E-7</w:t>
      </w:r>
    </w:p>
    <w:p>
      <w:pPr>
        <w:sectPr>
          <w:pgSz w:w="11900" w:h="16838" w:orient="portrait"/>
          <w:cols w:equalWidth="0" w:num="1">
            <w:col w:w="10220"/>
          </w:cols>
          <w:pgMar w:left="1440" w:top="820" w:right="239" w:bottom="1440" w:gutter="0" w:footer="0" w:header="0"/>
          <w:type w:val="continuous"/>
        </w:sectPr>
      </w:pPr>
    </w:p>
    <w:bookmarkStart w:id="235" w:name="page236"/>
    <w:bookmarkEnd w:id="235"/>
    <w:p>
      <w:pPr>
        <w:ind w:left="3420"/>
        <w:spacing w:after="0"/>
        <w:rPr>
          <w:sz w:val="20"/>
          <w:szCs w:val="20"/>
          <w:color w:val="auto"/>
        </w:rPr>
      </w:pPr>
      <w:r>
        <w:rPr>
          <w:rFonts w:ascii="Arial" w:cs="Arial" w:eastAsia="Arial" w:hAnsi="Arial"/>
          <w:sz w:val="22"/>
          <w:szCs w:val="22"/>
          <w:color w:val="auto"/>
        </w:rPr>
        <w:t>AAT TORREY RESERVE 6, LLC</w:t>
      </w:r>
    </w:p>
    <w:p>
      <w:pPr>
        <w:spacing w:after="0" w:line="341" w:lineRule="exact"/>
        <w:rPr>
          <w:sz w:val="20"/>
          <w:szCs w:val="20"/>
          <w:color w:val="auto"/>
        </w:rPr>
      </w:pPr>
    </w:p>
    <w:tbl>
      <w:tblPr>
        <w:tblLayout w:type="fixed"/>
        <w:tblInd w:w="3420" w:type="dxa"/>
        <w:tblCellMar>
          <w:top w:w="0" w:type="dxa"/>
          <w:left w:w="0" w:type="dxa"/>
          <w:bottom w:w="0" w:type="dxa"/>
          <w:right w:w="0" w:type="dxa"/>
        </w:tblCellMar>
      </w:tblP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AAT LLOYD DISTRICT, LLC</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AAT SORRENTO POINTE, LLC</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540"/>
        </w:trPr>
        <w:tc>
          <w:tcPr>
            <w:tcW w:w="8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rPr>
              <w:t>E-8</w:t>
            </w:r>
          </w:p>
        </w:tc>
        <w:tc>
          <w:tcPr>
            <w:tcW w:w="5080" w:type="dxa"/>
            <w:vAlign w:val="bottom"/>
          </w:tcPr>
          <w:p>
            <w:pPr>
              <w:spacing w:after="0"/>
              <w:rPr>
                <w:sz w:val="24"/>
                <w:szCs w:val="24"/>
                <w:color w:val="auto"/>
              </w:rPr>
            </w:pPr>
          </w:p>
        </w:tc>
      </w:tr>
    </w:tbl>
    <w:p>
      <w:pPr>
        <w:sectPr>
          <w:pgSz w:w="11900" w:h="16838" w:orient="portrait"/>
          <w:cols w:equalWidth="0" w:num="1">
            <w:col w:w="10220"/>
          </w:cols>
          <w:pgMar w:left="1440" w:top="820" w:right="239" w:bottom="1440" w:gutter="0" w:footer="0" w:header="0"/>
        </w:sectPr>
      </w:pPr>
    </w:p>
    <w:bookmarkStart w:id="236" w:name="page237"/>
    <w:bookmarkEnd w:id="236"/>
    <w:p>
      <w:pPr>
        <w:spacing w:after="0" w:line="1"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CARMEL MOUNTAIN PAD, LLC</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PACIFIC SOUTH COURT HOLDINGS, L.P.</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PACIFIC SOUTH COURT ASSETS LLC,</w:t>
            </w:r>
          </w:p>
        </w:tc>
      </w:tr>
      <w:tr>
        <w:trPr>
          <w:trHeight w:val="297"/>
        </w:trPr>
        <w:tc>
          <w:tcPr>
            <w:tcW w:w="8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its General Partner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PACIFIC TORREY DAYCARE HOLDINGS, L.P.</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PACIFIC TORREY DAYCARE ASSETS LLC,</w:t>
            </w:r>
          </w:p>
        </w:tc>
      </w:tr>
      <w:tr>
        <w:trPr>
          <w:trHeight w:val="297"/>
        </w:trPr>
        <w:tc>
          <w:tcPr>
            <w:tcW w:w="8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its General Partner</w:t>
            </w:r>
          </w:p>
        </w:tc>
      </w:tr>
    </w:tbl>
    <w:p>
      <w:pPr>
        <w:spacing w:after="0" w:line="200" w:lineRule="exact"/>
        <w:rPr>
          <w:sz w:val="20"/>
          <w:szCs w:val="20"/>
          <w:color w:val="auto"/>
        </w:rPr>
      </w:pPr>
    </w:p>
    <w:p>
      <w:pPr>
        <w:sectPr>
          <w:pgSz w:w="11900" w:h="16838" w:orient="portrait"/>
          <w:cols w:equalWidth="0" w:num="1">
            <w:col w:w="10220"/>
          </w:cols>
          <w:pgMar w:left="1440" w:top="820" w:right="239" w:bottom="1440" w:gutter="0" w:footer="0" w:header="0"/>
        </w:sectPr>
      </w:pPr>
    </w:p>
    <w:p>
      <w:pPr>
        <w:spacing w:after="0" w:line="36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E-9</w:t>
      </w:r>
    </w:p>
    <w:p>
      <w:pPr>
        <w:sectPr>
          <w:pgSz w:w="11900" w:h="16838" w:orient="portrait"/>
          <w:cols w:equalWidth="0" w:num="1">
            <w:col w:w="10220"/>
          </w:cols>
          <w:pgMar w:left="1440" w:top="820" w:right="239" w:bottom="1440" w:gutter="0" w:footer="0" w:header="0"/>
          <w:type w:val="continuous"/>
        </w:sectPr>
      </w:pPr>
    </w:p>
    <w:bookmarkStart w:id="237" w:name="page238"/>
    <w:bookmarkEnd w:id="237"/>
    <w:tbl>
      <w:tblPr>
        <w:tblLayout w:type="fixed"/>
        <w:tblInd w:w="3420" w:type="dxa"/>
        <w:tblCellMar>
          <w:top w:w="0" w:type="dxa"/>
          <w:left w:w="0" w:type="dxa"/>
          <w:bottom w:w="0" w:type="dxa"/>
          <w:right w:w="0" w:type="dxa"/>
        </w:tblCellMar>
      </w:tblPr>
      <w:tr>
        <w:trPr>
          <w:trHeight w:val="275"/>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3"/>
                <w:szCs w:val="23"/>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4"/>
          </w:tcPr>
          <w:p>
            <w:pPr>
              <w:spacing w:after="0"/>
              <w:rPr>
                <w:sz w:val="20"/>
                <w:szCs w:val="20"/>
                <w:color w:val="auto"/>
              </w:rPr>
            </w:pPr>
            <w:r>
              <w:rPr>
                <w:rFonts w:ascii="Arial" w:cs="Arial" w:eastAsia="Arial" w:hAnsi="Arial"/>
                <w:sz w:val="22"/>
                <w:szCs w:val="22"/>
                <w:color w:val="auto"/>
              </w:rPr>
              <w:t>PACIFIC SANTA FE HOLDINGS, L.P.</w:t>
            </w:r>
          </w:p>
        </w:tc>
      </w:tr>
      <w:tr>
        <w:trPr>
          <w:trHeight w:val="594"/>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PACIFIC SANTA FE ASSETS LLC,</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its General Partner</w:t>
            </w:r>
          </w:p>
        </w:tc>
      </w:tr>
      <w:tr>
        <w:trPr>
          <w:trHeight w:val="594"/>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4"/>
          </w:tcPr>
          <w:p>
            <w:pPr>
              <w:spacing w:after="0"/>
              <w:rPr>
                <w:sz w:val="20"/>
                <w:szCs w:val="20"/>
                <w:color w:val="auto"/>
              </w:rPr>
            </w:pPr>
            <w:r>
              <w:rPr>
                <w:rFonts w:ascii="Arial" w:cs="Arial" w:eastAsia="Arial" w:hAnsi="Arial"/>
                <w:sz w:val="22"/>
                <w:szCs w:val="22"/>
                <w:color w:val="auto"/>
              </w:rPr>
              <w:t>WAIKELE 101 SORRENTO, LLC</w:t>
            </w:r>
          </w:p>
        </w:tc>
      </w:tr>
      <w:tr>
        <w:trPr>
          <w:trHeight w:val="594"/>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BROADWAY 101 SORRENTO HOLDINGS,</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LLC, its Sole Member</w:t>
            </w:r>
          </w:p>
        </w:tc>
      </w:tr>
      <w:tr>
        <w:trPr>
          <w:trHeight w:val="594"/>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540"/>
        </w:trPr>
        <w:tc>
          <w:tcPr>
            <w:tcW w:w="600" w:type="dxa"/>
            <w:vAlign w:val="bottom"/>
          </w:tcPr>
          <w:p>
            <w:pPr>
              <w:spacing w:after="0"/>
              <w:rPr>
                <w:sz w:val="24"/>
                <w:szCs w:val="24"/>
                <w:color w:val="auto"/>
              </w:rPr>
            </w:pPr>
          </w:p>
        </w:tc>
        <w:tc>
          <w:tcPr>
            <w:tcW w:w="1120" w:type="dxa"/>
            <w:vAlign w:val="bottom"/>
            <w:gridSpan w:val="2"/>
          </w:tcPr>
          <w:p>
            <w:pPr>
              <w:ind w:left="280"/>
              <w:spacing w:after="0"/>
              <w:rPr>
                <w:sz w:val="20"/>
                <w:szCs w:val="20"/>
                <w:color w:val="auto"/>
              </w:rPr>
            </w:pPr>
            <w:r>
              <w:rPr>
                <w:rFonts w:ascii="Arial" w:cs="Arial" w:eastAsia="Arial" w:hAnsi="Arial"/>
                <w:sz w:val="22"/>
                <w:szCs w:val="22"/>
                <w:color w:val="auto"/>
              </w:rPr>
              <w:t>E-10</w:t>
            </w:r>
          </w:p>
        </w:tc>
        <w:tc>
          <w:tcPr>
            <w:tcW w:w="5080" w:type="dxa"/>
            <w:vAlign w:val="bottom"/>
          </w:tcPr>
          <w:p>
            <w:pPr>
              <w:spacing w:after="0"/>
              <w:rPr>
                <w:sz w:val="24"/>
                <w:szCs w:val="24"/>
                <w:color w:val="auto"/>
              </w:rPr>
            </w:pPr>
          </w:p>
        </w:tc>
      </w:tr>
    </w:tbl>
    <w:p>
      <w:pPr>
        <w:sectPr>
          <w:pgSz w:w="11900" w:h="16838" w:orient="portrait"/>
          <w:cols w:equalWidth="0" w:num="1">
            <w:col w:w="10220"/>
          </w:cols>
          <w:pgMar w:left="1440" w:top="821" w:right="239" w:bottom="1440" w:gutter="0" w:footer="0" w:header="0"/>
        </w:sectPr>
      </w:pPr>
    </w:p>
    <w:bookmarkStart w:id="238" w:name="page239"/>
    <w:bookmarkEnd w:id="238"/>
    <w:p>
      <w:pPr>
        <w:spacing w:after="0" w:line="1"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WAIKELE 101 STONECREST, LLC</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BROADWAY 101 STONECREST HOLDINGS,</w:t>
            </w:r>
          </w:p>
        </w:tc>
      </w:tr>
      <w:tr>
        <w:trPr>
          <w:trHeight w:val="297"/>
        </w:trPr>
        <w:tc>
          <w:tcPr>
            <w:tcW w:w="8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LLC,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3"/>
          </w:tcPr>
          <w:p>
            <w:pPr>
              <w:spacing w:after="0"/>
              <w:rPr>
                <w:sz w:val="20"/>
                <w:szCs w:val="20"/>
                <w:color w:val="auto"/>
              </w:rPr>
            </w:pPr>
            <w:r>
              <w:rPr>
                <w:rFonts w:ascii="Arial" w:cs="Arial" w:eastAsia="Arial" w:hAnsi="Arial"/>
                <w:sz w:val="22"/>
                <w:szCs w:val="22"/>
                <w:color w:val="auto"/>
              </w:rPr>
              <w:t>WAIKELE 225 SORRENTO, LLC</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BROADWAY 225 SORRENTO HOLDINGS,</w:t>
            </w:r>
          </w:p>
        </w:tc>
      </w:tr>
      <w:tr>
        <w:trPr>
          <w:trHeight w:val="297"/>
        </w:trPr>
        <w:tc>
          <w:tcPr>
            <w:tcW w:w="8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LLC,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John. W. Chamberlain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5080" w:type="dxa"/>
            <w:vAlign w:val="bottom"/>
          </w:tcPr>
          <w:p>
            <w:pPr>
              <w:ind w:left="220"/>
              <w:spacing w:after="0"/>
              <w:rPr>
                <w:sz w:val="20"/>
                <w:szCs w:val="20"/>
                <w:color w:val="auto"/>
              </w:rPr>
            </w:pPr>
            <w:r>
              <w:rPr>
                <w:rFonts w:ascii="Arial" w:cs="Arial" w:eastAsia="Arial" w:hAnsi="Arial"/>
                <w:sz w:val="22"/>
                <w:szCs w:val="22"/>
                <w:color w:val="auto"/>
              </w:rPr>
              <w:t>Robert F. Barton</w:t>
            </w:r>
          </w:p>
        </w:tc>
      </w:tr>
      <w:tr>
        <w:trPr>
          <w:trHeight w:val="297"/>
        </w:trPr>
        <w:tc>
          <w:tcPr>
            <w:tcW w:w="8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5080" w:type="dxa"/>
            <w:vAlign w:val="bottom"/>
          </w:tcPr>
          <w:p>
            <w:pPr>
              <w:ind w:left="22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22"/>
                <w:szCs w:val="22"/>
                <w:color w:val="auto"/>
              </w:rPr>
              <w:t>Executive Vice President</w:t>
            </w:r>
          </w:p>
        </w:tc>
      </w:tr>
      <w:tr>
        <w:trPr>
          <w:trHeight w:val="540"/>
        </w:trPr>
        <w:tc>
          <w:tcPr>
            <w:tcW w:w="8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color w:val="auto"/>
              </w:rPr>
              <w:t>E-11</w:t>
            </w:r>
          </w:p>
        </w:tc>
        <w:tc>
          <w:tcPr>
            <w:tcW w:w="5080" w:type="dxa"/>
            <w:vAlign w:val="bottom"/>
          </w:tcPr>
          <w:p>
            <w:pPr>
              <w:spacing w:after="0"/>
              <w:rPr>
                <w:sz w:val="24"/>
                <w:szCs w:val="24"/>
                <w:color w:val="auto"/>
              </w:rPr>
            </w:pPr>
          </w:p>
        </w:tc>
      </w:tr>
    </w:tbl>
    <w:p>
      <w:pPr>
        <w:sectPr>
          <w:pgSz w:w="11900" w:h="16838" w:orient="portrait"/>
          <w:cols w:equalWidth="0" w:num="1">
            <w:col w:w="10220"/>
          </w:cols>
          <w:pgMar w:left="1440" w:top="821" w:right="23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9"/>
          <w:szCs w:val="19"/>
          <w:color w:val="auto"/>
        </w:rPr>
        <w:t>WAIKELE 225 STONRECREST, LLC</w:t>
      </w:r>
    </w:p>
    <w:p>
      <w:pPr>
        <w:spacing w:after="0" w:line="376" w:lineRule="exact"/>
        <w:rPr>
          <w:sz w:val="20"/>
          <w:szCs w:val="20"/>
          <w:color w:val="auto"/>
        </w:rPr>
      </w:pPr>
    </w:p>
    <w:tbl>
      <w:tblPr>
        <w:tblLayout w:type="fixed"/>
        <w:tblInd w:w="3420" w:type="dxa"/>
        <w:tblCellMar>
          <w:top w:w="0" w:type="dxa"/>
          <w:left w:w="0" w:type="dxa"/>
          <w:bottom w:w="0" w:type="dxa"/>
          <w:right w:w="0" w:type="dxa"/>
        </w:tblCellMar>
      </w:tblPr>
      <w:tr>
        <w:trPr>
          <w:trHeight w:val="275"/>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3"/>
                <w:szCs w:val="23"/>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BROADWAY 225 STONECREST HOLDINGS, LLC,</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its Sole Member</w:t>
            </w:r>
          </w:p>
        </w:tc>
      </w:tr>
      <w:tr>
        <w:trPr>
          <w:trHeight w:val="594"/>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r>
        <w:trPr>
          <w:trHeight w:val="280"/>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22"/>
                <w:szCs w:val="22"/>
                <w:color w:val="auto"/>
              </w:rPr>
              <w:t>Name:</w:t>
            </w:r>
          </w:p>
        </w:tc>
        <w:tc>
          <w:tcPr>
            <w:tcW w:w="5000" w:type="dxa"/>
            <w:vAlign w:val="bottom"/>
          </w:tcPr>
          <w:p>
            <w:pPr>
              <w:ind w:left="140"/>
              <w:spacing w:after="0"/>
              <w:rPr>
                <w:sz w:val="20"/>
                <w:szCs w:val="20"/>
                <w:color w:val="auto"/>
              </w:rPr>
            </w:pPr>
            <w:r>
              <w:rPr>
                <w:rFonts w:ascii="Arial" w:cs="Arial" w:eastAsia="Arial" w:hAnsi="Arial"/>
                <w:sz w:val="22"/>
                <w:szCs w:val="22"/>
                <w:color w:val="auto"/>
              </w:rPr>
              <w:t>John. W. Chamberlain</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22"/>
                <w:szCs w:val="22"/>
                <w:color w:val="auto"/>
              </w:rPr>
              <w:t>Title:</w:t>
            </w:r>
          </w:p>
        </w:tc>
        <w:tc>
          <w:tcPr>
            <w:tcW w:w="5000" w:type="dxa"/>
            <w:vAlign w:val="bottom"/>
          </w:tcPr>
          <w:p>
            <w:pPr>
              <w:ind w:left="14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r>
        <w:trPr>
          <w:trHeight w:val="280"/>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22"/>
                <w:szCs w:val="22"/>
                <w:color w:val="auto"/>
              </w:rPr>
              <w:t>Name:</w:t>
            </w:r>
          </w:p>
        </w:tc>
        <w:tc>
          <w:tcPr>
            <w:tcW w:w="5000" w:type="dxa"/>
            <w:vAlign w:val="bottom"/>
          </w:tcPr>
          <w:p>
            <w:pPr>
              <w:ind w:left="140"/>
              <w:spacing w:after="0"/>
              <w:rPr>
                <w:sz w:val="20"/>
                <w:szCs w:val="20"/>
                <w:color w:val="auto"/>
              </w:rPr>
            </w:pPr>
            <w:r>
              <w:rPr>
                <w:rFonts w:ascii="Arial" w:cs="Arial" w:eastAsia="Arial" w:hAnsi="Arial"/>
                <w:sz w:val="22"/>
                <w:szCs w:val="22"/>
                <w:color w:val="auto"/>
              </w:rPr>
              <w:t>Robert F. Barton</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22"/>
                <w:szCs w:val="22"/>
                <w:color w:val="auto"/>
              </w:rPr>
              <w:t>Title:</w:t>
            </w:r>
          </w:p>
        </w:tc>
        <w:tc>
          <w:tcPr>
            <w:tcW w:w="5000" w:type="dxa"/>
            <w:vAlign w:val="bottom"/>
          </w:tcPr>
          <w:p>
            <w:pPr>
              <w:ind w:left="14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0" w:type="dxa"/>
            <w:vAlign w:val="bottom"/>
          </w:tcPr>
          <w:p>
            <w:pPr>
              <w:ind w:left="140"/>
              <w:spacing w:after="0"/>
              <w:rPr>
                <w:sz w:val="20"/>
                <w:szCs w:val="20"/>
                <w:color w:val="auto"/>
              </w:rPr>
            </w:pPr>
            <w:r>
              <w:rPr>
                <w:rFonts w:ascii="Arial" w:cs="Arial" w:eastAsia="Arial" w:hAnsi="Arial"/>
                <w:sz w:val="22"/>
                <w:szCs w:val="22"/>
                <w:color w:val="auto"/>
              </w:rPr>
              <w:t>Executive Vice President</w:t>
            </w:r>
          </w:p>
        </w:tc>
      </w:tr>
      <w:tr>
        <w:trPr>
          <w:trHeight w:val="594"/>
        </w:trPr>
        <w:tc>
          <w:tcPr>
            <w:tcW w:w="6800" w:type="dxa"/>
            <w:vAlign w:val="bottom"/>
            <w:gridSpan w:val="4"/>
          </w:tcPr>
          <w:p>
            <w:pPr>
              <w:spacing w:after="0"/>
              <w:rPr>
                <w:sz w:val="20"/>
                <w:szCs w:val="20"/>
                <w:color w:val="auto"/>
              </w:rPr>
            </w:pPr>
            <w:r>
              <w:rPr>
                <w:rFonts w:ascii="Arial" w:cs="Arial" w:eastAsia="Arial" w:hAnsi="Arial"/>
                <w:sz w:val="22"/>
                <w:szCs w:val="22"/>
                <w:color w:val="auto"/>
              </w:rPr>
              <w:t>WAIKELE RESERVE WEST HOLDINGS, LLC</w:t>
            </w:r>
          </w:p>
        </w:tc>
      </w:tr>
      <w:tr>
        <w:trPr>
          <w:trHeight w:val="563"/>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w w:val="96"/>
              </w:rPr>
              <w:t>PACIFIC TORREY RESERVE WEST HOLDINGS, LP, its Sole</w:t>
            </w:r>
          </w:p>
        </w:tc>
      </w:tr>
      <w:tr>
        <w:trPr>
          <w:trHeight w:val="275"/>
        </w:trPr>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ind w:left="40"/>
              <w:spacing w:after="0"/>
              <w:rPr>
                <w:sz w:val="20"/>
                <w:szCs w:val="20"/>
                <w:color w:val="auto"/>
              </w:rPr>
            </w:pPr>
            <w:r>
              <w:rPr>
                <w:rFonts w:ascii="Arial" w:cs="Arial" w:eastAsia="Arial" w:hAnsi="Arial"/>
                <w:sz w:val="22"/>
                <w:szCs w:val="22"/>
                <w:color w:val="auto"/>
              </w:rPr>
              <w:t>Member</w:t>
            </w:r>
          </w:p>
        </w:tc>
        <w:tc>
          <w:tcPr>
            <w:tcW w:w="5000" w:type="dxa"/>
            <w:vAlign w:val="bottom"/>
          </w:tcPr>
          <w:p>
            <w:pPr>
              <w:spacing w:after="0"/>
              <w:rPr>
                <w:sz w:val="23"/>
                <w:szCs w:val="23"/>
                <w:color w:val="auto"/>
              </w:rPr>
            </w:pPr>
          </w:p>
        </w:tc>
      </w:tr>
      <w:tr>
        <w:trPr>
          <w:trHeight w:val="509"/>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w w:val="93"/>
              </w:rPr>
              <w:t>PACIFIC TORREY RESERVE WEST ASSETS LLC, its General</w:t>
            </w:r>
          </w:p>
        </w:tc>
      </w:tr>
      <w:tr>
        <w:trPr>
          <w:trHeight w:val="275"/>
        </w:trPr>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ind w:left="40"/>
              <w:spacing w:after="0"/>
              <w:rPr>
                <w:sz w:val="20"/>
                <w:szCs w:val="20"/>
                <w:color w:val="auto"/>
              </w:rPr>
            </w:pPr>
            <w:r>
              <w:rPr>
                <w:rFonts w:ascii="Arial" w:cs="Arial" w:eastAsia="Arial" w:hAnsi="Arial"/>
                <w:sz w:val="22"/>
                <w:szCs w:val="22"/>
                <w:color w:val="auto"/>
              </w:rPr>
              <w:t>Partner</w:t>
            </w:r>
          </w:p>
        </w:tc>
        <w:tc>
          <w:tcPr>
            <w:tcW w:w="5000" w:type="dxa"/>
            <w:vAlign w:val="bottom"/>
          </w:tcPr>
          <w:p>
            <w:pPr>
              <w:spacing w:after="0"/>
              <w:rPr>
                <w:sz w:val="23"/>
                <w:szCs w:val="23"/>
                <w:color w:val="auto"/>
              </w:rPr>
            </w:pPr>
          </w:p>
        </w:tc>
      </w:tr>
      <w:tr>
        <w:trPr>
          <w:trHeight w:val="594"/>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L.P., its Sole Member</w:t>
            </w:r>
          </w:p>
        </w:tc>
      </w:tr>
      <w:tr>
        <w:trPr>
          <w:trHeight w:val="594"/>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22"/>
                <w:szCs w:val="22"/>
                <w:color w:val="auto"/>
              </w:rPr>
              <w:t>AMERICAN ASSETS TRUST, INC., its General Partner</w:t>
            </w:r>
          </w:p>
        </w:tc>
      </w:tr>
      <w:tr>
        <w:trPr>
          <w:trHeight w:val="605"/>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r>
        <w:trPr>
          <w:trHeight w:val="280"/>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22"/>
                <w:szCs w:val="22"/>
                <w:color w:val="auto"/>
              </w:rPr>
              <w:t>Name:</w:t>
            </w:r>
          </w:p>
        </w:tc>
        <w:tc>
          <w:tcPr>
            <w:tcW w:w="5000" w:type="dxa"/>
            <w:vAlign w:val="bottom"/>
          </w:tcPr>
          <w:p>
            <w:pPr>
              <w:ind w:left="140"/>
              <w:spacing w:after="0"/>
              <w:rPr>
                <w:sz w:val="20"/>
                <w:szCs w:val="20"/>
                <w:color w:val="auto"/>
              </w:rPr>
            </w:pPr>
            <w:r>
              <w:rPr>
                <w:rFonts w:ascii="Arial" w:cs="Arial" w:eastAsia="Arial" w:hAnsi="Arial"/>
                <w:sz w:val="22"/>
                <w:szCs w:val="22"/>
                <w:color w:val="auto"/>
              </w:rPr>
              <w:t>John. W. Chamberlain</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22"/>
                <w:szCs w:val="22"/>
                <w:color w:val="auto"/>
              </w:rPr>
              <w:t>Title:</w:t>
            </w:r>
          </w:p>
        </w:tc>
        <w:tc>
          <w:tcPr>
            <w:tcW w:w="5000" w:type="dxa"/>
            <w:vAlign w:val="bottom"/>
          </w:tcPr>
          <w:p>
            <w:pPr>
              <w:ind w:left="140"/>
              <w:spacing w:after="0"/>
              <w:rPr>
                <w:sz w:val="20"/>
                <w:szCs w:val="20"/>
                <w:color w:val="auto"/>
              </w:rPr>
            </w:pPr>
            <w:r>
              <w:rPr>
                <w:rFonts w:ascii="Arial" w:cs="Arial" w:eastAsia="Arial" w:hAnsi="Arial"/>
                <w:sz w:val="22"/>
                <w:szCs w:val="22"/>
                <w:color w:val="auto"/>
              </w:rPr>
              <w:t>Chief Executive Office &amp; President</w:t>
            </w:r>
          </w:p>
        </w:tc>
      </w:tr>
      <w:tr>
        <w:trPr>
          <w:trHeight w:val="605"/>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r>
        <w:trPr>
          <w:trHeight w:val="280"/>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22"/>
                <w:szCs w:val="22"/>
                <w:color w:val="auto"/>
              </w:rPr>
              <w:t>Name:</w:t>
            </w:r>
          </w:p>
        </w:tc>
        <w:tc>
          <w:tcPr>
            <w:tcW w:w="5000" w:type="dxa"/>
            <w:vAlign w:val="bottom"/>
          </w:tcPr>
          <w:p>
            <w:pPr>
              <w:ind w:left="140"/>
              <w:spacing w:after="0"/>
              <w:rPr>
                <w:sz w:val="20"/>
                <w:szCs w:val="20"/>
                <w:color w:val="auto"/>
              </w:rPr>
            </w:pPr>
            <w:r>
              <w:rPr>
                <w:rFonts w:ascii="Arial" w:cs="Arial" w:eastAsia="Arial" w:hAnsi="Arial"/>
                <w:sz w:val="22"/>
                <w:szCs w:val="22"/>
                <w:color w:val="auto"/>
              </w:rPr>
              <w:t>Robert F. Barton</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22"/>
                <w:szCs w:val="22"/>
                <w:color w:val="auto"/>
              </w:rPr>
              <w:t>Title:</w:t>
            </w:r>
          </w:p>
        </w:tc>
        <w:tc>
          <w:tcPr>
            <w:tcW w:w="5000" w:type="dxa"/>
            <w:vAlign w:val="bottom"/>
          </w:tcPr>
          <w:p>
            <w:pPr>
              <w:ind w:left="140"/>
              <w:spacing w:after="0"/>
              <w:rPr>
                <w:sz w:val="20"/>
                <w:szCs w:val="20"/>
                <w:color w:val="auto"/>
              </w:rPr>
            </w:pPr>
            <w:r>
              <w:rPr>
                <w:rFonts w:ascii="Arial" w:cs="Arial" w:eastAsia="Arial" w:hAnsi="Arial"/>
                <w:sz w:val="22"/>
                <w:szCs w:val="22"/>
                <w:color w:val="auto"/>
              </w:rPr>
              <w:t>Chief Financial Officer and</w:t>
            </w:r>
          </w:p>
        </w:tc>
      </w:tr>
      <w:tr>
        <w:trPr>
          <w:trHeight w:val="29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0" w:type="dxa"/>
            <w:vAlign w:val="bottom"/>
          </w:tcPr>
          <w:p>
            <w:pPr>
              <w:ind w:left="140"/>
              <w:spacing w:after="0"/>
              <w:rPr>
                <w:sz w:val="20"/>
                <w:szCs w:val="20"/>
                <w:color w:val="auto"/>
              </w:rPr>
            </w:pPr>
            <w:r>
              <w:rPr>
                <w:rFonts w:ascii="Arial" w:cs="Arial" w:eastAsia="Arial" w:hAnsi="Arial"/>
                <w:sz w:val="22"/>
                <w:szCs w:val="22"/>
                <w:color w:val="auto"/>
              </w:rPr>
              <w:t>Executive Vice President</w:t>
            </w:r>
          </w:p>
        </w:tc>
      </w:tr>
      <w:tr>
        <w:trPr>
          <w:trHeight w:val="756"/>
        </w:trPr>
        <w:tc>
          <w:tcPr>
            <w:tcW w:w="600" w:type="dxa"/>
            <w:vAlign w:val="bottom"/>
          </w:tcPr>
          <w:p>
            <w:pPr>
              <w:spacing w:after="0"/>
              <w:rPr>
                <w:sz w:val="24"/>
                <w:szCs w:val="24"/>
                <w:color w:val="auto"/>
              </w:rPr>
            </w:pPr>
          </w:p>
        </w:tc>
        <w:tc>
          <w:tcPr>
            <w:tcW w:w="1200" w:type="dxa"/>
            <w:vAlign w:val="bottom"/>
            <w:gridSpan w:val="2"/>
          </w:tcPr>
          <w:p>
            <w:pPr>
              <w:ind w:left="280"/>
              <w:spacing w:after="0"/>
              <w:rPr>
                <w:sz w:val="20"/>
                <w:szCs w:val="20"/>
                <w:color w:val="auto"/>
              </w:rPr>
            </w:pPr>
            <w:r>
              <w:rPr>
                <w:rFonts w:ascii="Arial" w:cs="Arial" w:eastAsia="Arial" w:hAnsi="Arial"/>
                <w:sz w:val="22"/>
                <w:szCs w:val="22"/>
                <w:color w:val="auto"/>
              </w:rPr>
              <w:t>E-12</w:t>
            </w:r>
          </w:p>
        </w:tc>
        <w:tc>
          <w:tcPr>
            <w:tcW w:w="5000" w:type="dxa"/>
            <w:vAlign w:val="bottom"/>
          </w:tcPr>
          <w:p>
            <w:pPr>
              <w:spacing w:after="0"/>
              <w:rPr>
                <w:sz w:val="24"/>
                <w:szCs w:val="24"/>
                <w:color w:val="auto"/>
              </w:rPr>
            </w:pPr>
          </w:p>
        </w:tc>
      </w:tr>
    </w:tbl>
    <w:p>
      <w:pPr>
        <w:sectPr>
          <w:pgSz w:w="11900" w:h="16838" w:orient="portrait"/>
          <w:cols w:equalWidth="0" w:num="1">
            <w:col w:w="10220"/>
          </w:cols>
          <w:pgMar w:left="1440" w:top="820"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22"/>
          <w:szCs w:val="22"/>
          <w:b w:val="1"/>
          <w:bCs w:val="1"/>
          <w:color w:val="auto"/>
        </w:rPr>
        <w:t>FORM OF JOINDER TO AFFILIATE GUARANTY</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JOINDER NO. ___, dated as of _____________, 20__ (this </w:t>
      </w:r>
      <w:r>
        <w:rPr>
          <w:rFonts w:ascii="Arial" w:cs="Arial" w:eastAsia="Arial" w:hAnsi="Arial"/>
          <w:sz w:val="19"/>
          <w:szCs w:val="19"/>
          <w:i w:val="1"/>
          <w:iCs w:val="1"/>
          <w:color w:val="auto"/>
        </w:rPr>
        <w:t>“Joinder”</w:t>
      </w:r>
      <w:r>
        <w:rPr>
          <w:rFonts w:ascii="Arial" w:cs="Arial" w:eastAsia="Arial" w:hAnsi="Arial"/>
          <w:sz w:val="19"/>
          <w:szCs w:val="19"/>
          <w:color w:val="auto"/>
        </w:rPr>
        <w:t>), to the Affiliate Guaranty dated as of October 31,</w:t>
      </w:r>
    </w:p>
    <w:p>
      <w:pPr>
        <w:spacing w:after="0" w:line="79"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 xml:space="preserve">2014 (as amended, modified, restated and/or supplemented from time to time, the </w:t>
      </w:r>
      <w:r>
        <w:rPr>
          <w:rFonts w:ascii="Arial" w:cs="Arial" w:eastAsia="Arial" w:hAnsi="Arial"/>
          <w:sz w:val="22"/>
          <w:szCs w:val="22"/>
          <w:i w:val="1"/>
          <w:iCs w:val="1"/>
          <w:color w:val="auto"/>
        </w:rPr>
        <w:t>“Guaranty”</w:t>
      </w:r>
      <w:r>
        <w:rPr>
          <w:rFonts w:ascii="Arial" w:cs="Arial" w:eastAsia="Arial" w:hAnsi="Arial"/>
          <w:sz w:val="22"/>
          <w:szCs w:val="22"/>
          <w:color w:val="auto"/>
        </w:rPr>
        <w:t xml:space="preserve">), made by and among American Assets Trust, Inc., a Maryland corporation (the </w:t>
      </w:r>
      <w:r>
        <w:rPr>
          <w:rFonts w:ascii="Arial" w:cs="Arial" w:eastAsia="Arial" w:hAnsi="Arial"/>
          <w:sz w:val="22"/>
          <w:szCs w:val="22"/>
          <w:i w:val="1"/>
          <w:iCs w:val="1"/>
          <w:color w:val="auto"/>
        </w:rPr>
        <w:t>“REIT”</w:t>
      </w:r>
      <w:r>
        <w:rPr>
          <w:rFonts w:ascii="Arial" w:cs="Arial" w:eastAsia="Arial" w:hAnsi="Arial"/>
          <w:sz w:val="22"/>
          <w:szCs w:val="22"/>
          <w:color w:val="auto"/>
        </w:rPr>
        <w:t>), and the Subsidiaries of the REIT party thereto for the benefit of the Purchasers and the other Holders from time to time of the Notes.</w:t>
      </w:r>
    </w:p>
    <w:p>
      <w:pPr>
        <w:spacing w:after="0" w:line="211" w:lineRule="exact"/>
        <w:rPr>
          <w:sz w:val="20"/>
          <w:szCs w:val="20"/>
          <w:color w:val="auto"/>
        </w:rPr>
      </w:pPr>
    </w:p>
    <w:p>
      <w:pPr>
        <w:jc w:val="both"/>
        <w:ind w:right="20" w:firstLine="832"/>
        <w:spacing w:after="0" w:line="311" w:lineRule="auto"/>
        <w:tabs>
          <w:tab w:leader="none" w:pos="1257"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Reference is made to (a) the Note Purchase Agreement dated as of October 31, 2014 (as amended, modified, restated and/or supplemented from time to time, the </w:t>
      </w:r>
      <w:r>
        <w:rPr>
          <w:rFonts w:ascii="Arial" w:cs="Arial" w:eastAsia="Arial" w:hAnsi="Arial"/>
          <w:sz w:val="21"/>
          <w:szCs w:val="21"/>
          <w:i w:val="1"/>
          <w:iCs w:val="1"/>
          <w:color w:val="auto"/>
        </w:rPr>
        <w:t>“Note Purchase Agreement”</w:t>
      </w:r>
      <w:r>
        <w:rPr>
          <w:rFonts w:ascii="Arial" w:cs="Arial" w:eastAsia="Arial" w:hAnsi="Arial"/>
          <w:sz w:val="21"/>
          <w:szCs w:val="21"/>
          <w:color w:val="auto"/>
        </w:rPr>
        <w:t xml:space="preserve">) among the REIT, American Assets Trust, L.P., a Maryland limited partnership (the </w:t>
      </w:r>
      <w:r>
        <w:rPr>
          <w:rFonts w:ascii="Arial" w:cs="Arial" w:eastAsia="Arial" w:hAnsi="Arial"/>
          <w:sz w:val="21"/>
          <w:szCs w:val="21"/>
          <w:i w:val="1"/>
          <w:iCs w:val="1"/>
          <w:color w:val="auto"/>
        </w:rPr>
        <w:t>“Company”</w:t>
      </w:r>
      <w:r>
        <w:rPr>
          <w:rFonts w:ascii="Arial" w:cs="Arial" w:eastAsia="Arial" w:hAnsi="Arial"/>
          <w:sz w:val="21"/>
          <w:szCs w:val="21"/>
          <w:color w:val="auto"/>
        </w:rPr>
        <w:t>), the Purchasers party thereto and (b) the Guaranty.</w:t>
      </w:r>
    </w:p>
    <w:p>
      <w:pPr>
        <w:spacing w:after="0" w:line="195" w:lineRule="exact"/>
        <w:rPr>
          <w:rFonts w:ascii="Arial" w:cs="Arial" w:eastAsia="Arial" w:hAnsi="Arial"/>
          <w:sz w:val="21"/>
          <w:szCs w:val="21"/>
          <w:color w:val="auto"/>
        </w:rPr>
      </w:pPr>
    </w:p>
    <w:p>
      <w:pPr>
        <w:ind w:left="1260" w:hanging="428"/>
        <w:spacing w:after="0"/>
        <w:tabs>
          <w:tab w:leader="none" w:pos="126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Capitalized terms used herein and not otherwise defined herein shall have the meanings assigned to such terms in the</w:t>
      </w:r>
    </w:p>
    <w:p>
      <w:pPr>
        <w:spacing w:after="0" w:line="7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Guaranty.</w:t>
      </w:r>
    </w:p>
    <w:p>
      <w:pPr>
        <w:spacing w:after="0" w:line="287" w:lineRule="exact"/>
        <w:rPr>
          <w:rFonts w:ascii="Arial" w:cs="Arial" w:eastAsia="Arial" w:hAnsi="Arial"/>
          <w:sz w:val="19"/>
          <w:szCs w:val="19"/>
          <w:color w:val="auto"/>
        </w:rPr>
      </w:pPr>
    </w:p>
    <w:p>
      <w:pPr>
        <w:ind w:left="1540" w:hanging="708"/>
        <w:spacing w:after="0"/>
        <w:tabs>
          <w:tab w:leader="none" w:pos="154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 xml:space="preserve">[NAME OF ENTITY] has [formed][acquired] ____________, ____________ [type of entity] (the </w:t>
      </w:r>
      <w:r>
        <w:rPr>
          <w:rFonts w:ascii="Arial" w:cs="Arial" w:eastAsia="Arial" w:hAnsi="Arial"/>
          <w:sz w:val="22"/>
          <w:szCs w:val="22"/>
          <w:i w:val="1"/>
          <w:iCs w:val="1"/>
          <w:color w:val="auto"/>
        </w:rPr>
        <w:t>“New</w:t>
      </w:r>
    </w:p>
    <w:p>
      <w:pPr>
        <w:spacing w:after="0" w:line="4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i w:val="1"/>
          <w:iCs w:val="1"/>
          <w:color w:val="auto"/>
        </w:rPr>
        <w:t>Guarantor”</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jc w:val="both"/>
        <w:ind w:firstLine="832"/>
        <w:spacing w:after="0" w:line="357" w:lineRule="auto"/>
        <w:tabs>
          <w:tab w:leader="none" w:pos="130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Pursuant to the terms and provisions of the Note Purchase Agreement, the New Guarantor is required to become a party to the Guaranty and guaranty the Obligations of the Company. The New Guarantor is executing this Joinder in accordance with the requirements of the Note Purchase Agreement and Section 16 of the Guaranty to become a party to the Guaranty.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Accordingly, the New Guarantor hereby agrees as follows:</w:t>
      </w:r>
    </w:p>
    <w:p>
      <w:pPr>
        <w:spacing w:after="0" w:line="287" w:lineRule="exact"/>
        <w:rPr>
          <w:sz w:val="20"/>
          <w:szCs w:val="20"/>
          <w:color w:val="auto"/>
        </w:rPr>
      </w:pPr>
    </w:p>
    <w:p>
      <w:pPr>
        <w:jc w:val="both"/>
        <w:ind w:firstLine="1513"/>
        <w:spacing w:after="0" w:line="300" w:lineRule="auto"/>
        <w:rPr>
          <w:sz w:val="20"/>
          <w:szCs w:val="20"/>
          <w:color w:val="auto"/>
        </w:rPr>
      </w:pPr>
      <w:r>
        <w:rPr>
          <w:rFonts w:ascii="Arial" w:cs="Arial" w:eastAsia="Arial" w:hAnsi="Arial"/>
          <w:sz w:val="21"/>
          <w:szCs w:val="21"/>
          <w:i w:val="1"/>
          <w:iCs w:val="1"/>
          <w:color w:val="auto"/>
        </w:rPr>
        <w:t>Section 1</w:t>
      </w:r>
      <w:r>
        <w:rPr>
          <w:rFonts w:ascii="Arial" w:cs="Arial" w:eastAsia="Arial" w:hAnsi="Arial"/>
          <w:sz w:val="21"/>
          <w:szCs w:val="21"/>
          <w:color w:val="auto"/>
        </w:rPr>
        <w:t>. The New Guarantor is hereby added as a party to the Guaranty and hereby agrees to be bound as a</w:t>
      </w:r>
      <w:r>
        <w:rPr>
          <w:rFonts w:ascii="Arial" w:cs="Arial" w:eastAsia="Arial" w:hAnsi="Arial"/>
          <w:sz w:val="21"/>
          <w:szCs w:val="21"/>
          <w:i w:val="1"/>
          <w:iCs w:val="1"/>
          <w:color w:val="auto"/>
        </w:rPr>
        <w:t xml:space="preserve"> </w:t>
      </w:r>
      <w:r>
        <w:rPr>
          <w:rFonts w:ascii="Arial" w:cs="Arial" w:eastAsia="Arial" w:hAnsi="Arial"/>
          <w:sz w:val="21"/>
          <w:szCs w:val="21"/>
          <w:color w:val="auto"/>
        </w:rPr>
        <w:t>“Guarantor” by all of the terms, covenants and provisions set forth in the Guaranty to the same extent it would have been bound if it had been a signatory to the Guaranty on the date of the Guaranty. In furtherance of the foregoing, the New Guarantor hereby absolutely and unconditionally guarantees, as a guaranty of payment and performance and not as a guaranty of collection, prompt payment when due, whether at stated maturity, by required prepayment, upon acceleration, demand or otherwise, and at all times thereafter, of all Guaranteed Obligations. The New Guarantor hereby makes each of the representations and warranties applicable to a “Guarantor” contained in the Guaranty as of the date hereof.</w:t>
      </w:r>
    </w:p>
    <w:p>
      <w:pPr>
        <w:spacing w:after="0" w:line="210" w:lineRule="exact"/>
        <w:rPr>
          <w:sz w:val="20"/>
          <w:szCs w:val="20"/>
          <w:color w:val="auto"/>
        </w:rPr>
      </w:pPr>
    </w:p>
    <w:p>
      <w:pPr>
        <w:jc w:val="both"/>
        <w:ind w:firstLine="1513"/>
        <w:spacing w:after="0" w:line="302" w:lineRule="auto"/>
        <w:rPr>
          <w:sz w:val="20"/>
          <w:szCs w:val="20"/>
          <w:color w:val="auto"/>
        </w:rPr>
      </w:pPr>
      <w:r>
        <w:rPr>
          <w:rFonts w:ascii="Arial" w:cs="Arial" w:eastAsia="Arial" w:hAnsi="Arial"/>
          <w:sz w:val="22"/>
          <w:szCs w:val="22"/>
          <w:i w:val="1"/>
          <w:iCs w:val="1"/>
          <w:color w:val="auto"/>
        </w:rPr>
        <w:t>Section 2</w:t>
      </w:r>
      <w:r>
        <w:rPr>
          <w:rFonts w:ascii="Arial" w:cs="Arial" w:eastAsia="Arial" w:hAnsi="Arial"/>
          <w:sz w:val="22"/>
          <w:szCs w:val="22"/>
          <w:color w:val="auto"/>
        </w:rPr>
        <w:t>. The New Guarantor hereby represents and warrants to the Holders as of the date hereof that this</w:t>
      </w:r>
      <w:r>
        <w:rPr>
          <w:rFonts w:ascii="Arial" w:cs="Arial" w:eastAsia="Arial" w:hAnsi="Arial"/>
          <w:sz w:val="22"/>
          <w:szCs w:val="22"/>
          <w:i w:val="1"/>
          <w:iCs w:val="1"/>
          <w:color w:val="auto"/>
        </w:rPr>
        <w:t xml:space="preserve"> </w:t>
      </w:r>
      <w:r>
        <w:rPr>
          <w:rFonts w:ascii="Arial" w:cs="Arial" w:eastAsia="Arial" w:hAnsi="Arial"/>
          <w:sz w:val="22"/>
          <w:szCs w:val="22"/>
          <w:color w:val="auto"/>
        </w:rPr>
        <w:t>Joinder has been duly authorize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Continuing Guaranty)</w:t>
      </w:r>
    </w:p>
    <w:p>
      <w:pPr>
        <w:sectPr>
          <w:pgSz w:w="11900" w:h="16838" w:orient="portrait"/>
          <w:cols w:equalWidth="0" w:num="1">
            <w:col w:w="11420"/>
          </w:cols>
          <w:pgMar w:left="240" w:top="679" w:right="239" w:bottom="1440" w:gutter="0" w:footer="0" w:header="0"/>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d, executed and delivered by it and constitutes its legal, valid and binding obligation, enforceable against it in accordance with its terms, except as enforceability may be limited by bankruptcy, insolvency, fraudulent conveyance, reorganization, moratorium or similar laws affecting the enforceability of creditors’ rights generally and by general principles of equity (regardless of whether enforcement is sought at law or in equity).</w:t>
      </w:r>
    </w:p>
    <w:p>
      <w:pPr>
        <w:spacing w:after="0" w:line="217" w:lineRule="exact"/>
        <w:rPr>
          <w:sz w:val="20"/>
          <w:szCs w:val="20"/>
          <w:color w:val="auto"/>
        </w:rPr>
      </w:pPr>
    </w:p>
    <w:p>
      <w:pPr>
        <w:jc w:val="both"/>
        <w:ind w:firstLine="1513"/>
        <w:spacing w:after="0" w:line="288" w:lineRule="auto"/>
        <w:rPr>
          <w:sz w:val="20"/>
          <w:szCs w:val="20"/>
          <w:color w:val="auto"/>
        </w:rPr>
      </w:pPr>
      <w:r>
        <w:rPr>
          <w:rFonts w:ascii="Arial" w:cs="Arial" w:eastAsia="Arial" w:hAnsi="Arial"/>
          <w:sz w:val="22"/>
          <w:szCs w:val="22"/>
          <w:i w:val="1"/>
          <w:iCs w:val="1"/>
          <w:color w:val="auto"/>
        </w:rPr>
        <w:t xml:space="preserve">Section 3. </w:t>
      </w:r>
      <w:r>
        <w:rPr>
          <w:rFonts w:ascii="Arial" w:cs="Arial" w:eastAsia="Arial" w:hAnsi="Arial"/>
          <w:sz w:val="22"/>
          <w:szCs w:val="22"/>
          <w:color w:val="auto"/>
        </w:rPr>
        <w:t>The New Guarantor hereby represents and warrants to the Holders that its U.S. taxpayer identification</w:t>
      </w:r>
      <w:r>
        <w:rPr>
          <w:rFonts w:ascii="Arial" w:cs="Arial" w:eastAsia="Arial" w:hAnsi="Arial"/>
          <w:sz w:val="22"/>
          <w:szCs w:val="22"/>
          <w:i w:val="1"/>
          <w:iCs w:val="1"/>
          <w:color w:val="auto"/>
        </w:rPr>
        <w:t xml:space="preserve"> </w:t>
      </w:r>
      <w:r>
        <w:rPr>
          <w:rFonts w:ascii="Arial" w:cs="Arial" w:eastAsia="Arial" w:hAnsi="Arial"/>
          <w:sz w:val="22"/>
          <w:szCs w:val="22"/>
          <w:color w:val="auto"/>
        </w:rPr>
        <w:t>number (or, if such New Guarantor is a Non-U.S. Note Party that does not have a U.S. taxpayer identification number, its unique identification number issued to it by the jurisdiction of its incorporation or organization) is set forth under its signature to this Joinder.</w:t>
      </w:r>
    </w:p>
    <w:p>
      <w:pPr>
        <w:spacing w:after="0" w:line="217" w:lineRule="exact"/>
        <w:rPr>
          <w:sz w:val="20"/>
          <w:szCs w:val="20"/>
          <w:color w:val="auto"/>
        </w:rPr>
      </w:pPr>
    </w:p>
    <w:p>
      <w:pPr>
        <w:jc w:val="both"/>
        <w:ind w:firstLine="1513"/>
        <w:spacing w:after="0" w:line="387" w:lineRule="auto"/>
        <w:rPr>
          <w:sz w:val="20"/>
          <w:szCs w:val="20"/>
          <w:color w:val="auto"/>
        </w:rPr>
      </w:pPr>
      <w:r>
        <w:rPr>
          <w:rFonts w:ascii="Arial" w:cs="Arial" w:eastAsia="Arial" w:hAnsi="Arial"/>
          <w:sz w:val="19"/>
          <w:szCs w:val="19"/>
          <w:i w:val="1"/>
          <w:iCs w:val="1"/>
          <w:color w:val="auto"/>
        </w:rPr>
        <w:t xml:space="preserve">Section 4. </w:t>
      </w:r>
      <w:r>
        <w:rPr>
          <w:rFonts w:ascii="Arial" w:cs="Arial" w:eastAsia="Arial" w:hAnsi="Arial"/>
          <w:sz w:val="19"/>
          <w:szCs w:val="19"/>
          <w:color w:val="auto"/>
        </w:rPr>
        <w:t>This Joinder may be executed in counterparts (and by different parties hereto on different</w:t>
      </w:r>
      <w:r>
        <w:rPr>
          <w:rFonts w:ascii="Arial" w:cs="Arial" w:eastAsia="Arial" w:hAnsi="Arial"/>
          <w:sz w:val="19"/>
          <w:szCs w:val="19"/>
          <w:i w:val="1"/>
          <w:iCs w:val="1"/>
          <w:color w:val="auto"/>
        </w:rPr>
        <w:t xml:space="preserve"> </w:t>
      </w:r>
      <w:r>
        <w:rPr>
          <w:rFonts w:ascii="Arial" w:cs="Arial" w:eastAsia="Arial" w:hAnsi="Arial"/>
          <w:sz w:val="19"/>
          <w:szCs w:val="19"/>
          <w:color w:val="auto"/>
        </w:rPr>
        <w:t>counterparts), each of which shall constitute an original, but all of which when taken together shall constitute a single contract.</w:t>
      </w:r>
    </w:p>
    <w:p>
      <w:pPr>
        <w:spacing w:after="0" w:line="133" w:lineRule="exact"/>
        <w:rPr>
          <w:sz w:val="20"/>
          <w:szCs w:val="20"/>
          <w:color w:val="auto"/>
        </w:rPr>
      </w:pPr>
    </w:p>
    <w:p>
      <w:pPr>
        <w:ind w:left="1520"/>
        <w:spacing w:after="0"/>
        <w:tabs>
          <w:tab w:leader="none" w:pos="2560" w:val="left"/>
        </w:tabs>
        <w:rPr>
          <w:sz w:val="20"/>
          <w:szCs w:val="20"/>
          <w:color w:val="auto"/>
        </w:rPr>
      </w:pPr>
      <w:r>
        <w:rPr>
          <w:rFonts w:ascii="Arial" w:cs="Arial" w:eastAsia="Arial" w:hAnsi="Arial"/>
          <w:sz w:val="22"/>
          <w:szCs w:val="22"/>
          <w:i w:val="1"/>
          <w:iCs w:val="1"/>
          <w:color w:val="auto"/>
        </w:rPr>
        <w:t>Section 5</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Except as expressly supplemented hereby, the Guaranty shall remain in full force and effect.</w:t>
      </w:r>
    </w:p>
    <w:p>
      <w:pPr>
        <w:spacing w:after="0" w:line="287" w:lineRule="exact"/>
        <w:rPr>
          <w:sz w:val="20"/>
          <w:szCs w:val="20"/>
          <w:color w:val="auto"/>
        </w:rPr>
      </w:pPr>
    </w:p>
    <w:p>
      <w:pPr>
        <w:jc w:val="both"/>
        <w:ind w:firstLine="1513"/>
        <w:spacing w:after="0" w:line="292" w:lineRule="auto"/>
        <w:rPr>
          <w:sz w:val="20"/>
          <w:szCs w:val="20"/>
          <w:color w:val="auto"/>
        </w:rPr>
      </w:pPr>
      <w:r>
        <w:rPr>
          <w:rFonts w:ascii="Arial" w:cs="Arial" w:eastAsia="Arial" w:hAnsi="Arial"/>
          <w:sz w:val="22"/>
          <w:szCs w:val="22"/>
          <w:i w:val="1"/>
          <w:iCs w:val="1"/>
          <w:color w:val="auto"/>
        </w:rPr>
        <w:t>SECTION 6</w:t>
      </w:r>
      <w:r>
        <w:rPr>
          <w:rFonts w:ascii="Arial" w:cs="Arial" w:eastAsia="Arial" w:hAnsi="Arial"/>
          <w:sz w:val="22"/>
          <w:szCs w:val="22"/>
          <w:color w:val="auto"/>
        </w:rPr>
        <w:t>. THIS JOINDER SHALL BE GOVERNED BY, AND CONSTRUED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LAW OF THE STATE OF NEW YORK (WITHOUT GIVING EFFECT TO THE CONFLICTS OF LAW PRINCIPLES THEREOF).</w:t>
      </w:r>
    </w:p>
    <w:p>
      <w:pPr>
        <w:spacing w:after="0" w:line="211" w:lineRule="exact"/>
        <w:rPr>
          <w:sz w:val="20"/>
          <w:szCs w:val="20"/>
          <w:color w:val="auto"/>
        </w:rPr>
      </w:pPr>
    </w:p>
    <w:p>
      <w:pPr>
        <w:jc w:val="both"/>
        <w:ind w:firstLine="1513"/>
        <w:spacing w:after="0" w:line="302" w:lineRule="auto"/>
        <w:rPr>
          <w:sz w:val="20"/>
          <w:szCs w:val="20"/>
          <w:color w:val="auto"/>
        </w:rPr>
      </w:pPr>
      <w:r>
        <w:rPr>
          <w:rFonts w:ascii="Arial" w:cs="Arial" w:eastAsia="Arial" w:hAnsi="Arial"/>
          <w:sz w:val="22"/>
          <w:szCs w:val="22"/>
          <w:i w:val="1"/>
          <w:iCs w:val="1"/>
          <w:color w:val="auto"/>
        </w:rPr>
        <w:t>Section 7</w:t>
      </w:r>
      <w:r>
        <w:rPr>
          <w:rFonts w:ascii="Arial" w:cs="Arial" w:eastAsia="Arial" w:hAnsi="Arial"/>
          <w:sz w:val="22"/>
          <w:szCs w:val="22"/>
          <w:color w:val="auto"/>
        </w:rPr>
        <w:t>. All communications and notices to be provided to the New Guarantor hereunder or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Guaranty shall be given to the New Guarantor at the address set forth under its signature.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40" w:right="239" w:bottom="1440" w:gutter="0" w:footer="0" w:header="0"/>
        </w:sectPr>
      </w:pPr>
    </w:p>
    <w:bookmarkStart w:id="242" w:name="page243"/>
    <w:bookmarkEnd w:id="242"/>
    <w:p>
      <w:pPr>
        <w:spacing w:after="0"/>
        <w:rPr>
          <w:sz w:val="20"/>
          <w:szCs w:val="20"/>
          <w:color w:val="auto"/>
        </w:rPr>
      </w:pPr>
      <w:r>
        <w:rPr>
          <w:rFonts w:ascii="Arial" w:cs="Arial" w:eastAsia="Arial" w:hAnsi="Arial"/>
          <w:sz w:val="19"/>
          <w:szCs w:val="19"/>
          <w:color w:val="auto"/>
        </w:rPr>
        <w:t>IN WITNESS WHEREOF, the New Guarantor was duly executed this Joinder as of the day and year first above written.</w:t>
      </w:r>
    </w:p>
    <w:p>
      <w:pPr>
        <w:sectPr>
          <w:pgSz w:w="11900" w:h="16838" w:orient="portrait"/>
          <w:cols w:equalWidth="0" w:num="1">
            <w:col w:w="10400"/>
          </w:cols>
          <w:pgMar w:left="900" w:top="92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[NEW GUARANTOR]</w:t>
      </w:r>
    </w:p>
    <w:p>
      <w:pPr>
        <w:spacing w:after="0" w:line="36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24765</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24765</wp:posOffset>
            </wp:positionV>
            <wp:extent cx="2795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4"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24765</wp:posOffset>
            </wp:positionV>
            <wp:extent cx="2795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62" w:lineRule="exact"/>
        <w:rPr>
          <w:sz w:val="20"/>
          <w:szCs w:val="20"/>
          <w:color w:val="auto"/>
        </w:rPr>
      </w:pPr>
    </w:p>
    <w:p>
      <w:pPr>
        <w:ind w:left="4480"/>
        <w:spacing w:after="0"/>
        <w:rPr>
          <w:sz w:val="20"/>
          <w:szCs w:val="20"/>
          <w:color w:val="auto"/>
        </w:rPr>
      </w:pPr>
      <w:r>
        <w:rPr>
          <w:rFonts w:ascii="Arial" w:cs="Arial" w:eastAsia="Arial" w:hAnsi="Arial"/>
          <w:sz w:val="19"/>
          <w:szCs w:val="19"/>
          <w:color w:val="auto"/>
        </w:rPr>
        <w:t>U.S. Taxpayer Identification Number: ________________</w:t>
      </w:r>
    </w:p>
    <w:p>
      <w:pPr>
        <w:spacing w:after="0" w:line="200" w:lineRule="exact"/>
        <w:rPr>
          <w:sz w:val="20"/>
          <w:szCs w:val="20"/>
          <w:color w:val="auto"/>
        </w:rPr>
      </w:pPr>
    </w:p>
    <w:p>
      <w:pPr>
        <w:spacing w:after="0" w:line="203"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Address of New Guarantor:</w:t>
      </w:r>
    </w:p>
    <w:p>
      <w:pPr>
        <w:spacing w:after="0" w:line="44"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[_______________________________]</w:t>
      </w:r>
    </w:p>
    <w:p>
      <w:pPr>
        <w:spacing w:after="0" w:line="44"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[_______________________________]</w:t>
      </w:r>
    </w:p>
    <w:p>
      <w:pPr>
        <w:spacing w:after="0" w:line="44"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8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0"/>
          </w:cols>
          <w:pgMar w:left="900" w:top="929" w:right="599" w:bottom="1440" w:gutter="0" w:footer="0" w:header="0"/>
          <w:type w:val="continuous"/>
        </w:sectPr>
      </w:pPr>
    </w:p>
    <w:bookmarkStart w:id="243" w:name="page244"/>
    <w:bookmarkEnd w:id="243"/>
    <w:p>
      <w:pPr>
        <w:jc w:val="center"/>
        <w:spacing w:after="0"/>
        <w:rPr>
          <w:sz w:val="20"/>
          <w:szCs w:val="20"/>
          <w:color w:val="auto"/>
        </w:rPr>
      </w:pPr>
      <w:r>
        <w:rPr>
          <w:rFonts w:ascii="Arial" w:cs="Arial" w:eastAsia="Arial" w:hAnsi="Arial"/>
          <w:sz w:val="22"/>
          <w:szCs w:val="22"/>
          <w:b w:val="1"/>
          <w:bCs w:val="1"/>
          <w:color w:val="auto"/>
        </w:rPr>
        <w:t>FORM OF COMPLIANCE CERTIFICATE</w:t>
      </w:r>
    </w:p>
    <w:p>
      <w:pPr>
        <w:spacing w:after="0" w:line="293"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Financial Statement Date: ______________</w:t>
      </w:r>
    </w:p>
    <w:p>
      <w:pPr>
        <w:spacing w:after="0" w:line="37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8"/>
          <w:szCs w:val="18"/>
          <w:color w:val="auto"/>
        </w:rPr>
        <w:t>The Purchasers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8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 xml:space="preserve">Reference is made to that certain Note Purchase Agreement, dated as of October __, 2014 (as amended, restated, extended, supplemented or otherwise modified in writing from time to time, the </w:t>
      </w:r>
      <w:r>
        <w:rPr>
          <w:rFonts w:ascii="Arial" w:cs="Arial" w:eastAsia="Arial" w:hAnsi="Arial"/>
          <w:sz w:val="21"/>
          <w:szCs w:val="21"/>
          <w:i w:val="1"/>
          <w:iCs w:val="1"/>
          <w:color w:val="auto"/>
        </w:rPr>
        <w:t>“Agreement;”</w:t>
      </w:r>
      <w:r>
        <w:rPr>
          <w:rFonts w:ascii="Arial" w:cs="Arial" w:eastAsia="Arial" w:hAnsi="Arial"/>
          <w:sz w:val="21"/>
          <w:szCs w:val="21"/>
          <w:color w:val="auto"/>
        </w:rPr>
        <w:t xml:space="preserve"> the terms defined therein being used herein as therein defined), among American Assets Trust, Inc., a Maryland corporation (the </w:t>
      </w:r>
      <w:r>
        <w:rPr>
          <w:rFonts w:ascii="Arial" w:cs="Arial" w:eastAsia="Arial" w:hAnsi="Arial"/>
          <w:sz w:val="21"/>
          <w:szCs w:val="21"/>
          <w:i w:val="1"/>
          <w:iCs w:val="1"/>
          <w:color w:val="auto"/>
        </w:rPr>
        <w:t>“REIT”</w:t>
      </w:r>
      <w:r>
        <w:rPr>
          <w:rFonts w:ascii="Arial" w:cs="Arial" w:eastAsia="Arial" w:hAnsi="Arial"/>
          <w:sz w:val="21"/>
          <w:szCs w:val="21"/>
          <w:color w:val="auto"/>
        </w:rPr>
        <w:t xml:space="preserve">), American Assets Trust, L.P., a Maryland limited partnership (the </w:t>
      </w:r>
      <w:r>
        <w:rPr>
          <w:rFonts w:ascii="Arial" w:cs="Arial" w:eastAsia="Arial" w:hAnsi="Arial"/>
          <w:sz w:val="21"/>
          <w:szCs w:val="21"/>
          <w:i w:val="1"/>
          <w:iCs w:val="1"/>
          <w:color w:val="auto"/>
        </w:rPr>
        <w:t>“Company”</w:t>
      </w:r>
      <w:r>
        <w:rPr>
          <w:rFonts w:ascii="Arial" w:cs="Arial" w:eastAsia="Arial" w:hAnsi="Arial"/>
          <w:sz w:val="21"/>
          <w:szCs w:val="21"/>
          <w:color w:val="auto"/>
        </w:rPr>
        <w:t>), and the Purchasers listed therein.</w:t>
      </w:r>
    </w:p>
    <w:p>
      <w:pPr>
        <w:spacing w:after="0" w:line="2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undersigned Responsible Officer of the REIT hereby certifies as of the date hereof that he/she is the [CEO/CFO/Treasurer/Controller] of the REIT, and that, as such, he/she is authorized to execute and deliver this Compliance Certificate to the Purchasers on behalf of the REIT, in his/her capacity as a Responsible Officer of the REIT (and not in any individual capacity), and that: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 xml:space="preserve">[Use following paragraph 1 for fiscal </w:t>
      </w:r>
      <w:r>
        <w:rPr>
          <w:rFonts w:ascii="Arial" w:cs="Arial" w:eastAsia="Arial" w:hAnsi="Arial"/>
          <w:sz w:val="22"/>
          <w:szCs w:val="22"/>
          <w:b w:val="1"/>
          <w:bCs w:val="1"/>
          <w:i w:val="1"/>
          <w:iCs w:val="1"/>
          <w:color w:val="auto"/>
        </w:rPr>
        <w:t>year-end</w:t>
      </w:r>
      <w:r>
        <w:rPr>
          <w:rFonts w:ascii="Arial" w:cs="Arial" w:eastAsia="Arial" w:hAnsi="Arial"/>
          <w:sz w:val="22"/>
          <w:szCs w:val="22"/>
          <w:i w:val="1"/>
          <w:iCs w:val="1"/>
          <w:color w:val="auto"/>
        </w:rPr>
        <w:t xml:space="preserve"> financial statements]</w:t>
      </w:r>
    </w:p>
    <w:p>
      <w:pPr>
        <w:spacing w:after="0" w:line="287" w:lineRule="exact"/>
        <w:rPr>
          <w:sz w:val="20"/>
          <w:szCs w:val="20"/>
          <w:color w:val="auto"/>
        </w:rPr>
      </w:pPr>
    </w:p>
    <w:p>
      <w:pPr>
        <w:jc w:val="both"/>
        <w:ind w:firstLine="832"/>
        <w:spacing w:after="0" w:line="292" w:lineRule="auto"/>
        <w:tabs>
          <w:tab w:leader="none" w:pos="1201"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Company has delivered the year end audited financial statements required by Section 7.1(b) of the Agreement for the fiscal year of the REIT ended as of the above date, together with the report and opinion of an independent certified public accountant required by such section.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[Use following paragraph 1 for fiscal quarter-end financial statements]</w:t>
      </w:r>
    </w:p>
    <w:p>
      <w:pPr>
        <w:spacing w:after="0" w:line="287" w:lineRule="exact"/>
        <w:rPr>
          <w:sz w:val="20"/>
          <w:szCs w:val="20"/>
          <w:color w:val="auto"/>
        </w:rPr>
      </w:pPr>
    </w:p>
    <w:p>
      <w:pPr>
        <w:jc w:val="both"/>
        <w:ind w:firstLine="832"/>
        <w:spacing w:after="0" w:line="292" w:lineRule="exact"/>
        <w:tabs>
          <w:tab w:leader="none" w:pos="1252"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Company has delivered the unaudited financial statements required by Section 7.1(a) of the Agreement for the fiscal quarter of the REIT ended as of the above date. Such financial statements fairly present in all material respects the financial condition, results of operations, shareholder’s equity and cash flows of the Consolidated Group in accordance with GAAP as at such date and for such period, subject only to customary year</w:t>
      </w:r>
      <w:r>
        <w:rPr>
          <w:rFonts w:ascii="MS PGothic" w:cs="MS PGothic" w:eastAsia="MS PGothic" w:hAnsi="MS PGothic"/>
          <w:sz w:val="19"/>
          <w:szCs w:val="19"/>
          <w:color w:val="auto"/>
        </w:rPr>
        <w:t>‑</w:t>
      </w:r>
      <w:r>
        <w:rPr>
          <w:rFonts w:ascii="Arial" w:cs="Arial" w:eastAsia="Arial" w:hAnsi="Arial"/>
          <w:sz w:val="19"/>
          <w:szCs w:val="19"/>
          <w:color w:val="auto"/>
        </w:rPr>
        <w:t>end audit adjustments and the absence of footnotes.</w:t>
      </w:r>
    </w:p>
    <w:p>
      <w:pPr>
        <w:spacing w:after="0" w:line="266" w:lineRule="exact"/>
        <w:rPr>
          <w:rFonts w:ascii="Arial" w:cs="Arial" w:eastAsia="Arial" w:hAnsi="Arial"/>
          <w:sz w:val="19"/>
          <w:szCs w:val="19"/>
          <w:color w:val="auto"/>
        </w:rPr>
      </w:pPr>
    </w:p>
    <w:p>
      <w:pPr>
        <w:jc w:val="both"/>
        <w:ind w:firstLine="832"/>
        <w:spacing w:after="0" w:line="292" w:lineRule="auto"/>
        <w:tabs>
          <w:tab w:leader="none" w:pos="127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undersigned has reviewed and is familiar with the terms of the Agreement and has made, or has caused to be made under his/her supervision, a detailed review of the transactions and condition (financial or otherwise) of the Note Parties during the accounting period covered by such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Compliance Certificate)</w:t>
      </w:r>
    </w:p>
    <w:p>
      <w:pPr>
        <w:sectPr>
          <w:pgSz w:w="11900" w:h="16838" w:orient="portrait"/>
          <w:cols w:equalWidth="0" w:num="1">
            <w:col w:w="11420"/>
          </w:cols>
          <w:pgMar w:left="240" w:top="679" w:right="239" w:bottom="1440" w:gutter="0" w:footer="0" w:header="0"/>
        </w:sectPr>
      </w:pPr>
    </w:p>
    <w:bookmarkStart w:id="244" w:name="page245"/>
    <w:bookmarkEnd w:id="244"/>
    <w:p>
      <w:pPr>
        <w:jc w:val="both"/>
        <w:ind w:firstLine="832"/>
        <w:spacing w:after="0" w:line="292" w:lineRule="auto"/>
        <w:tabs>
          <w:tab w:leader="none" w:pos="1253"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 review of the activities of the Note Parties during such fiscal period has been made under the supervision of the undersigned with a view to determining whether during such fiscal period the Note Parties performed and observed all their Obligations under the Note Documents, and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[select one:]</w:t>
      </w:r>
    </w:p>
    <w:p>
      <w:pPr>
        <w:spacing w:after="0" w:line="281" w:lineRule="exact"/>
        <w:rPr>
          <w:sz w:val="20"/>
          <w:szCs w:val="20"/>
          <w:color w:val="auto"/>
        </w:rPr>
      </w:pPr>
    </w:p>
    <w:p>
      <w:pPr>
        <w:spacing w:after="0" w:line="334" w:lineRule="auto"/>
        <w:rPr>
          <w:sz w:val="20"/>
          <w:szCs w:val="20"/>
          <w:color w:val="auto"/>
        </w:rPr>
      </w:pPr>
      <w:r>
        <w:rPr>
          <w:rFonts w:ascii="Arial" w:cs="Arial" w:eastAsia="Arial" w:hAnsi="Arial"/>
          <w:sz w:val="21"/>
          <w:szCs w:val="21"/>
          <w:b w:val="1"/>
          <w:bCs w:val="1"/>
          <w:color w:val="auto"/>
        </w:rPr>
        <w:t>[during such fiscal period each of the Loan Parties performed and observed in all material respects each covenant and condition of the Loan Documents applicable to it, and no Default has occurred and is continuing.]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--or--</w:t>
      </w:r>
    </w:p>
    <w:p>
      <w:pPr>
        <w:spacing w:after="0" w:line="281" w:lineRule="exact"/>
        <w:rPr>
          <w:sz w:val="20"/>
          <w:szCs w:val="20"/>
          <w:color w:val="auto"/>
        </w:rPr>
      </w:pPr>
    </w:p>
    <w:p>
      <w:pPr>
        <w:spacing w:after="0" w:line="308" w:lineRule="auto"/>
        <w:rPr>
          <w:sz w:val="20"/>
          <w:szCs w:val="20"/>
          <w:color w:val="auto"/>
        </w:rPr>
      </w:pPr>
      <w:r>
        <w:rPr>
          <w:rFonts w:ascii="Arial" w:cs="Arial" w:eastAsia="Arial" w:hAnsi="Arial"/>
          <w:sz w:val="22"/>
          <w:szCs w:val="22"/>
          <w:b w:val="1"/>
          <w:bCs w:val="1"/>
          <w:color w:val="auto"/>
        </w:rPr>
        <w:t>[during such fiscal period the following covenants or conditions have not been performed or observed and the following is a list of each such Default and its nature and status:]</w:t>
      </w:r>
    </w:p>
    <w:p>
      <w:pPr>
        <w:spacing w:after="0" w:line="194" w:lineRule="exact"/>
        <w:rPr>
          <w:sz w:val="20"/>
          <w:szCs w:val="20"/>
          <w:color w:val="auto"/>
        </w:rPr>
      </w:pPr>
    </w:p>
    <w:p>
      <w:pPr>
        <w:ind w:right="20" w:firstLine="832"/>
        <w:spacing w:after="0" w:line="302" w:lineRule="auto"/>
        <w:tabs>
          <w:tab w:leader="none" w:pos="124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financial covenant analyses and information set forth on Schedule 1 attached hereto are true and accurate in all material respects on and as of the date of this Certificate.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w:t>
      </w:r>
      <w:r>
        <w:rPr>
          <w:rFonts w:ascii="Arial" w:cs="Arial" w:eastAsia="Arial" w:hAnsi="Arial"/>
          <w:sz w:val="22"/>
          <w:szCs w:val="22"/>
          <w:i w:val="1"/>
          <w:iCs w:val="1"/>
          <w:color w:val="auto"/>
        </w:rPr>
        <w:t>,</w:t>
      </w:r>
      <w:r>
        <w:rPr>
          <w:rFonts w:ascii="Arial" w:cs="Arial" w:eastAsia="Arial" w:hAnsi="Arial"/>
          <w:sz w:val="22"/>
          <w:szCs w:val="22"/>
          <w:color w:val="auto"/>
        </w:rPr>
        <w:t xml:space="preserve"> the undersigned has executed this Certificate as of _______________, _____.</w:t>
      </w:r>
    </w:p>
    <w:p>
      <w:pPr>
        <w:spacing w:after="0" w:line="200" w:lineRule="exact"/>
        <w:rPr>
          <w:sz w:val="20"/>
          <w:szCs w:val="20"/>
          <w:color w:val="auto"/>
        </w:rPr>
      </w:pPr>
    </w:p>
    <w:p>
      <w:pPr>
        <w:spacing w:after="0" w:line="276" w:lineRule="exact"/>
        <w:rPr>
          <w:sz w:val="20"/>
          <w:szCs w:val="20"/>
          <w:color w:val="auto"/>
        </w:rPr>
      </w:pPr>
    </w:p>
    <w:p>
      <w:pPr>
        <w:ind w:left="8180"/>
        <w:spacing w:after="0"/>
        <w:rPr>
          <w:sz w:val="20"/>
          <w:szCs w:val="20"/>
          <w:color w:val="auto"/>
        </w:rPr>
      </w:pPr>
      <w:r>
        <w:rPr>
          <w:rFonts w:ascii="Arial" w:cs="Arial" w:eastAsia="Arial" w:hAnsi="Arial"/>
          <w:sz w:val="22"/>
          <w:szCs w:val="22"/>
          <w:color w:val="auto"/>
        </w:rPr>
        <w:t>AMERICAN ASSETS TRUST,</w:t>
      </w:r>
    </w:p>
    <w:p>
      <w:pPr>
        <w:spacing w:after="0" w:line="8" w:lineRule="exact"/>
        <w:rPr>
          <w:sz w:val="20"/>
          <w:szCs w:val="20"/>
          <w:color w:val="auto"/>
        </w:rPr>
      </w:pPr>
    </w:p>
    <w:p>
      <w:pPr>
        <w:ind w:left="8180"/>
        <w:spacing w:after="0"/>
        <w:rPr>
          <w:sz w:val="20"/>
          <w:szCs w:val="20"/>
          <w:color w:val="auto"/>
        </w:rPr>
      </w:pPr>
      <w:r>
        <w:rPr>
          <w:rFonts w:ascii="Arial" w:cs="Arial" w:eastAsia="Arial" w:hAnsi="Arial"/>
          <w:sz w:val="22"/>
          <w:szCs w:val="22"/>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1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24765</wp:posOffset>
            </wp:positionV>
            <wp:extent cx="16725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4" w:lineRule="exact"/>
        <w:rPr>
          <w:sz w:val="20"/>
          <w:szCs w:val="20"/>
          <w:color w:val="auto"/>
        </w:rPr>
      </w:pPr>
    </w:p>
    <w:p>
      <w:pPr>
        <w:ind w:left="81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24765</wp:posOffset>
            </wp:positionV>
            <wp:extent cx="16725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4" w:lineRule="exact"/>
        <w:rPr>
          <w:sz w:val="20"/>
          <w:szCs w:val="20"/>
          <w:color w:val="auto"/>
        </w:rPr>
      </w:pPr>
    </w:p>
    <w:p>
      <w:pPr>
        <w:ind w:left="81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24765</wp:posOffset>
            </wp:positionV>
            <wp:extent cx="16725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929" w:right="2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For the Quarter/Year ended ______________ (“Statement Date”)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the Compliance Certificate</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in 000’s)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I. SECTION 10.9(a) – CONSOLIDATED TANGIBLE NET WORTH</w:t>
      </w:r>
    </w:p>
    <w:p>
      <w:pPr>
        <w:spacing w:after="0" w:line="297" w:lineRule="exact"/>
        <w:rPr>
          <w:sz w:val="20"/>
          <w:szCs w:val="20"/>
          <w:color w:val="auto"/>
        </w:rPr>
      </w:pPr>
    </w:p>
    <w:p>
      <w:pPr>
        <w:ind w:left="1880" w:hanging="927"/>
        <w:spacing w:after="0"/>
        <w:tabs>
          <w:tab w:leader="none" w:pos="18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Consolidated Tangible Net Worth at Statement Date:</w:t>
      </w:r>
    </w:p>
    <w:p>
      <w:pPr>
        <w:spacing w:after="0" w:line="200" w:lineRule="exact"/>
        <w:rPr>
          <w:sz w:val="20"/>
          <w:szCs w:val="20"/>
          <w:color w:val="auto"/>
        </w:rPr>
      </w:pP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277"/>
        </w:trPr>
        <w:tc>
          <w:tcPr>
            <w:tcW w:w="160" w:type="dxa"/>
            <w:vAlign w:val="bottom"/>
          </w:tcPr>
          <w:p>
            <w:pPr>
              <w:spacing w:after="0"/>
              <w:rPr>
                <w:sz w:val="20"/>
                <w:szCs w:val="20"/>
                <w:color w:val="auto"/>
              </w:rPr>
            </w:pPr>
            <w:r>
              <w:rPr>
                <w:rFonts w:ascii="Arial" w:cs="Arial" w:eastAsia="Arial" w:hAnsi="Arial"/>
                <w:sz w:val="20"/>
                <w:szCs w:val="20"/>
                <w:color w:val="auto"/>
                <w:w w:val="83"/>
              </w:rPr>
              <w:t>1.</w:t>
            </w:r>
          </w:p>
        </w:tc>
        <w:tc>
          <w:tcPr>
            <w:tcW w:w="6760" w:type="dxa"/>
            <w:vAlign w:val="bottom"/>
          </w:tcPr>
          <w:p>
            <w:pPr>
              <w:ind w:left="20"/>
              <w:spacing w:after="0"/>
              <w:rPr>
                <w:sz w:val="20"/>
                <w:szCs w:val="20"/>
                <w:color w:val="auto"/>
              </w:rPr>
            </w:pPr>
            <w:r>
              <w:rPr>
                <w:rFonts w:ascii="Arial" w:cs="Arial" w:eastAsia="Arial" w:hAnsi="Arial"/>
                <w:sz w:val="20"/>
                <w:szCs w:val="20"/>
                <w:color w:val="auto"/>
              </w:rPr>
              <w:t>Shareholders’ Equity of the Consolidated Group as of the Statement Date:</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635"/>
        </w:trPr>
        <w:tc>
          <w:tcPr>
            <w:tcW w:w="160" w:type="dxa"/>
            <w:vAlign w:val="bottom"/>
          </w:tcPr>
          <w:p>
            <w:pPr>
              <w:spacing w:after="0"/>
              <w:rPr>
                <w:sz w:val="20"/>
                <w:szCs w:val="20"/>
                <w:color w:val="auto"/>
              </w:rPr>
            </w:pPr>
            <w:r>
              <w:rPr>
                <w:rFonts w:ascii="Arial" w:cs="Arial" w:eastAsia="Arial" w:hAnsi="Arial"/>
                <w:sz w:val="20"/>
                <w:szCs w:val="20"/>
                <w:color w:val="auto"/>
                <w:w w:val="83"/>
              </w:rPr>
              <w:t>2.</w:t>
            </w:r>
          </w:p>
        </w:tc>
        <w:tc>
          <w:tcPr>
            <w:tcW w:w="6760" w:type="dxa"/>
            <w:vAlign w:val="bottom"/>
          </w:tcPr>
          <w:p>
            <w:pPr>
              <w:ind w:left="20"/>
              <w:spacing w:after="0"/>
              <w:rPr>
                <w:sz w:val="20"/>
                <w:szCs w:val="20"/>
                <w:color w:val="auto"/>
              </w:rPr>
            </w:pPr>
            <w:r>
              <w:rPr>
                <w:rFonts w:ascii="Arial" w:cs="Arial" w:eastAsia="Arial" w:hAnsi="Arial"/>
                <w:sz w:val="20"/>
                <w:szCs w:val="20"/>
                <w:color w:val="auto"/>
              </w:rPr>
              <w:t>Intangible Assets of the Consolidated Group as of the Statement Date:</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698"/>
        </w:trPr>
        <w:tc>
          <w:tcPr>
            <w:tcW w:w="6920" w:type="dxa"/>
            <w:vAlign w:val="bottom"/>
            <w:gridSpan w:val="2"/>
          </w:tcPr>
          <w:p>
            <w:pPr>
              <w:spacing w:after="0"/>
              <w:rPr>
                <w:sz w:val="20"/>
                <w:szCs w:val="20"/>
                <w:color w:val="auto"/>
              </w:rPr>
            </w:pPr>
            <w:r>
              <w:rPr>
                <w:rFonts w:ascii="Arial" w:cs="Arial" w:eastAsia="Arial" w:hAnsi="Arial"/>
                <w:sz w:val="20"/>
                <w:szCs w:val="20"/>
                <w:color w:val="auto"/>
                <w:w w:val="92"/>
              </w:rPr>
              <w:t>3. Accumulated depreciation expense on the assets of the Consolidated Group as of</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60" w:type="dxa"/>
            <w:vAlign w:val="bottom"/>
          </w:tcPr>
          <w:p>
            <w:pPr>
              <w:spacing w:after="0"/>
              <w:rPr>
                <w:sz w:val="21"/>
                <w:szCs w:val="21"/>
                <w:color w:val="auto"/>
              </w:rPr>
            </w:pPr>
          </w:p>
        </w:tc>
        <w:tc>
          <w:tcPr>
            <w:tcW w:w="6760" w:type="dxa"/>
            <w:vAlign w:val="bottom"/>
          </w:tcPr>
          <w:p>
            <w:pPr>
              <w:ind w:left="240"/>
              <w:spacing w:after="0"/>
              <w:rPr>
                <w:sz w:val="20"/>
                <w:szCs w:val="20"/>
                <w:color w:val="auto"/>
              </w:rPr>
            </w:pPr>
            <w:r>
              <w:rPr>
                <w:rFonts w:ascii="Arial" w:cs="Arial" w:eastAsia="Arial" w:hAnsi="Arial"/>
                <w:sz w:val="20"/>
                <w:szCs w:val="20"/>
                <w:color w:val="auto"/>
              </w:rPr>
              <w:t>Statement Date in accordance with GAAP:</w:t>
            </w:r>
          </w:p>
        </w:tc>
        <w:tc>
          <w:tcPr>
            <w:tcW w:w="1220" w:type="dxa"/>
            <w:vAlign w:val="bottom"/>
          </w:tcPr>
          <w:p>
            <w:pPr>
              <w:spacing w:after="0"/>
              <w:rPr>
                <w:sz w:val="21"/>
                <w:szCs w:val="21"/>
                <w:color w:val="auto"/>
              </w:rPr>
            </w:pPr>
          </w:p>
        </w:tc>
      </w:tr>
    </w:tbl>
    <w:p>
      <w:pPr>
        <w:spacing w:after="0" w:line="192" w:lineRule="exact"/>
        <w:rPr>
          <w:sz w:val="20"/>
          <w:szCs w:val="20"/>
          <w:color w:val="auto"/>
        </w:rPr>
      </w:pPr>
    </w:p>
    <w:p>
      <w:pPr>
        <w:sectPr>
          <w:pgSz w:w="11900" w:h="16838" w:orient="portrait"/>
          <w:cols w:equalWidth="0" w:num="1">
            <w:col w:w="11380"/>
          </w:cols>
          <w:pgMar w:left="240" w:top="928" w:right="279" w:bottom="1440" w:gutter="0" w:footer="0" w:header="0"/>
        </w:sectPr>
      </w:pPr>
    </w:p>
    <w:p>
      <w:pPr>
        <w:spacing w:after="0" w:line="27"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4. Consolidated Tangible Net Worth (Line I.A1. – Line I.A.2. + Line I.A.3.):</w:t>
      </w:r>
    </w:p>
    <w:p>
      <w:pPr>
        <w:spacing w:after="0" w:line="200" w:lineRule="exact"/>
        <w:rPr>
          <w:sz w:val="20"/>
          <w:szCs w:val="20"/>
          <w:color w:val="auto"/>
        </w:rPr>
      </w:pPr>
    </w:p>
    <w:p>
      <w:pPr>
        <w:spacing w:after="0" w:line="204" w:lineRule="exact"/>
        <w:rPr>
          <w:sz w:val="20"/>
          <w:szCs w:val="20"/>
          <w:color w:val="auto"/>
        </w:rPr>
      </w:pPr>
    </w:p>
    <w:p>
      <w:pPr>
        <w:jc w:val="both"/>
        <w:ind w:left="1880" w:hanging="927"/>
        <w:spacing w:after="0" w:line="291" w:lineRule="auto"/>
        <w:tabs>
          <w:tab w:leader="none" w:pos="18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75% of Net Cash Proceeds received by the REIT from issuances and sales of Equity Interests of the REIT occurring after 1/9/14 (other than any such Net Cash Proceeds received in connection with any dividend reinvestment program):</w:t>
      </w:r>
    </w:p>
    <w:p>
      <w:pPr>
        <w:spacing w:after="0" w:line="232" w:lineRule="exact"/>
        <w:rPr>
          <w:rFonts w:ascii="Arial" w:cs="Arial" w:eastAsia="Arial" w:hAnsi="Arial"/>
          <w:sz w:val="18"/>
          <w:szCs w:val="18"/>
          <w:color w:val="auto"/>
        </w:rPr>
      </w:pPr>
    </w:p>
    <w:p>
      <w:pPr>
        <w:ind w:left="1880" w:hanging="927"/>
        <w:spacing w:after="0"/>
        <w:tabs>
          <w:tab w:leader="none" w:pos="18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Minimum Required Consolidated Tangible Net Worth ($721,160,000 + Line I.B.):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222" w:lineRule="exact"/>
        <w:rPr>
          <w:sz w:val="20"/>
          <w:szCs w:val="20"/>
          <w:color w:val="auto"/>
        </w:rPr>
      </w:pPr>
    </w:p>
    <w:p>
      <w:pPr>
        <w:sectPr>
          <w:pgSz w:w="11900" w:h="16838" w:orient="portrait"/>
          <w:cols w:equalWidth="0" w:num="2">
            <w:col w:w="8540" w:space="280"/>
            <w:col w:w="2560"/>
          </w:cols>
          <w:pgMar w:left="240" w:top="928" w:right="279" w:bottom="1440" w:gutter="0" w:footer="0" w:header="0"/>
          <w:type w:val="continuous"/>
        </w:sectPr>
      </w:pPr>
    </w:p>
    <w:p>
      <w:pPr>
        <w:spacing w:after="0" w:line="228" w:lineRule="exact"/>
        <w:rPr>
          <w:sz w:val="20"/>
          <w:szCs w:val="20"/>
          <w:color w:val="auto"/>
        </w:rPr>
      </w:pPr>
    </w:p>
    <w:p>
      <w:pPr>
        <w:ind w:left="1880"/>
        <w:spacing w:after="0"/>
        <w:tabs>
          <w:tab w:leader="none" w:pos="8800" w:val="left"/>
        </w:tabs>
        <w:rPr>
          <w:sz w:val="20"/>
          <w:szCs w:val="20"/>
          <w:color w:val="auto"/>
        </w:rPr>
      </w:pPr>
      <w:r>
        <w:rPr>
          <w:rFonts w:ascii="Arial" w:cs="Arial" w:eastAsia="Arial" w:hAnsi="Arial"/>
          <w:sz w:val="20"/>
          <w:szCs w:val="20"/>
          <w:color w:val="auto"/>
        </w:rPr>
        <w:t>Excess (Deficiency) for Covenant Compliance (Line I.A.4. – I.C.):</w:t>
      </w:r>
      <w:r>
        <w:rPr>
          <w:sz w:val="20"/>
          <w:szCs w:val="20"/>
          <w:color w:val="auto"/>
        </w:rPr>
        <w:tab/>
      </w:r>
      <w:r>
        <w:rPr>
          <w:rFonts w:ascii="Arial" w:cs="Arial" w:eastAsia="Arial" w:hAnsi="Arial"/>
          <w:sz w:val="16"/>
          <w:szCs w:val="16"/>
          <w:color w:val="auto"/>
        </w:rPr>
        <w:t>$___________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 w:hanging="225"/>
        <w:spacing w:after="0"/>
        <w:tabs>
          <w:tab w:leader="none" w:pos="2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SECTION 10.9(b) – CONSOLIDATED SECURED LEVERAGE RATIO</w:t>
      </w:r>
    </w:p>
    <w:p>
      <w:pPr>
        <w:spacing w:after="0" w:line="296" w:lineRule="exact"/>
        <w:rPr>
          <w:rFonts w:ascii="Arial" w:cs="Arial" w:eastAsia="Arial" w:hAnsi="Arial"/>
          <w:sz w:val="20"/>
          <w:szCs w:val="20"/>
          <w:color w:val="auto"/>
        </w:rPr>
      </w:pPr>
    </w:p>
    <w:p>
      <w:pPr>
        <w:ind w:left="960"/>
        <w:spacing w:after="0"/>
        <w:rPr>
          <w:rFonts w:ascii="Arial" w:cs="Arial" w:eastAsia="Arial" w:hAnsi="Arial"/>
          <w:sz w:val="20"/>
          <w:szCs w:val="20"/>
          <w:color w:val="auto"/>
        </w:rPr>
      </w:pPr>
      <w:r>
        <w:rPr>
          <w:rFonts w:ascii="Arial" w:cs="Arial" w:eastAsia="Arial" w:hAnsi="Arial"/>
          <w:sz w:val="20"/>
          <w:szCs w:val="20"/>
          <w:color w:val="auto"/>
        </w:rPr>
        <w:t>A.</w:t>
      </w:r>
      <w:r>
        <w:rPr>
          <w:rFonts w:ascii="Arial" w:cs="Arial" w:eastAsia="Arial" w:hAnsi="Arial"/>
          <w:sz w:val="16"/>
          <w:szCs w:val="16"/>
          <w:color w:val="auto"/>
        </w:rPr>
        <w:t>Consolidated Total Secured Indebtedness at Statement Date:</w:t>
      </w:r>
    </w:p>
    <w:p>
      <w:pPr>
        <w:spacing w:after="0" w:line="374" w:lineRule="exact"/>
        <w:rPr>
          <w:sz w:val="20"/>
          <w:szCs w:val="20"/>
          <w:color w:val="auto"/>
        </w:rPr>
      </w:pPr>
    </w:p>
    <w:tbl>
      <w:tblPr>
        <w:tblLayout w:type="fixed"/>
        <w:tblInd w:w="1880" w:type="dxa"/>
        <w:tblCellMar>
          <w:top w:w="0" w:type="dxa"/>
          <w:left w:w="0" w:type="dxa"/>
          <w:bottom w:w="0" w:type="dxa"/>
          <w:right w:w="0" w:type="dxa"/>
        </w:tblCellMar>
      </w:tblPr>
      <w:tr>
        <w:trPr>
          <w:trHeight w:val="287"/>
        </w:trPr>
        <w:tc>
          <w:tcPr>
            <w:tcW w:w="180" w:type="dxa"/>
            <w:vAlign w:val="bottom"/>
          </w:tcPr>
          <w:p>
            <w:pPr>
              <w:jc w:val="right"/>
              <w:spacing w:after="0"/>
              <w:rPr>
                <w:sz w:val="20"/>
                <w:szCs w:val="20"/>
                <w:color w:val="auto"/>
              </w:rPr>
            </w:pPr>
            <w:r>
              <w:rPr>
                <w:rFonts w:ascii="Arial" w:cs="Arial" w:eastAsia="Arial" w:hAnsi="Arial"/>
                <w:sz w:val="20"/>
                <w:szCs w:val="20"/>
                <w:color w:val="auto"/>
                <w:w w:val="71"/>
              </w:rPr>
              <w:t>1.</w:t>
            </w:r>
          </w:p>
        </w:tc>
        <w:tc>
          <w:tcPr>
            <w:tcW w:w="6740" w:type="dxa"/>
            <w:vAlign w:val="bottom"/>
          </w:tcPr>
          <w:p>
            <w:pPr>
              <w:jc w:val="right"/>
              <w:spacing w:after="0"/>
              <w:rPr>
                <w:sz w:val="20"/>
                <w:szCs w:val="20"/>
                <w:color w:val="auto"/>
              </w:rPr>
            </w:pPr>
            <w:r>
              <w:rPr>
                <w:rFonts w:ascii="Arial" w:cs="Arial" w:eastAsia="Arial" w:hAnsi="Arial"/>
                <w:sz w:val="20"/>
                <w:szCs w:val="20"/>
                <w:color w:val="auto"/>
                <w:w w:val="93"/>
              </w:rPr>
              <w:t>Aggregate amount of all Secured Indebtedness</w:t>
            </w:r>
            <w:r>
              <w:rPr>
                <w:rFonts w:ascii="Arial" w:cs="Arial" w:eastAsia="Arial" w:hAnsi="Arial"/>
                <w:sz w:val="25"/>
                <w:szCs w:val="25"/>
                <w:color w:val="auto"/>
                <w:w w:val="93"/>
                <w:vertAlign w:val="superscript"/>
              </w:rPr>
              <w:t>1</w:t>
            </w:r>
            <w:r>
              <w:rPr>
                <w:rFonts w:ascii="Arial" w:cs="Arial" w:eastAsia="Arial" w:hAnsi="Arial"/>
                <w:sz w:val="20"/>
                <w:szCs w:val="20"/>
                <w:color w:val="auto"/>
                <w:w w:val="93"/>
              </w:rPr>
              <w:t xml:space="preserve">  of the Consolidated Group that</w:t>
            </w:r>
          </w:p>
        </w:tc>
        <w:tc>
          <w:tcPr>
            <w:tcW w:w="1220" w:type="dxa"/>
            <w:vAlign w:val="bottom"/>
          </w:tcPr>
          <w:p>
            <w:pPr>
              <w:spacing w:after="0"/>
              <w:rPr>
                <w:sz w:val="24"/>
                <w:szCs w:val="24"/>
                <w:color w:val="auto"/>
              </w:rPr>
            </w:pPr>
          </w:p>
        </w:tc>
      </w:tr>
      <w:tr>
        <w:trPr>
          <w:trHeight w:val="314"/>
        </w:trPr>
        <w:tc>
          <w:tcPr>
            <w:tcW w:w="180" w:type="dxa"/>
            <w:vAlign w:val="bottom"/>
          </w:tcPr>
          <w:p>
            <w:pPr>
              <w:spacing w:after="0"/>
              <w:rPr>
                <w:sz w:val="24"/>
                <w:szCs w:val="24"/>
                <w:color w:val="auto"/>
              </w:rPr>
            </w:pPr>
          </w:p>
        </w:tc>
        <w:tc>
          <w:tcPr>
            <w:tcW w:w="6740" w:type="dxa"/>
            <w:vAlign w:val="bottom"/>
          </w:tcPr>
          <w:p>
            <w:pPr>
              <w:jc w:val="right"/>
              <w:spacing w:after="0"/>
              <w:rPr>
                <w:sz w:val="20"/>
                <w:szCs w:val="20"/>
                <w:color w:val="auto"/>
              </w:rPr>
            </w:pPr>
            <w:r>
              <w:rPr>
                <w:rFonts w:ascii="Arial" w:cs="Arial" w:eastAsia="Arial" w:hAnsi="Arial"/>
                <w:sz w:val="20"/>
                <w:szCs w:val="20"/>
                <w:color w:val="auto"/>
                <w:w w:val="92"/>
              </w:rPr>
              <w:t>would be reflected on a consolidated balance sheet of the Consolidated Group as</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80" w:type="dxa"/>
            <w:vAlign w:val="bottom"/>
          </w:tcPr>
          <w:p>
            <w:pPr>
              <w:spacing w:after="0"/>
              <w:rPr>
                <w:sz w:val="21"/>
                <w:szCs w:val="21"/>
                <w:color w:val="auto"/>
              </w:rPr>
            </w:pPr>
          </w:p>
        </w:tc>
        <w:tc>
          <w:tcPr>
            <w:tcW w:w="6740" w:type="dxa"/>
            <w:vAlign w:val="bottom"/>
          </w:tcPr>
          <w:p>
            <w:pPr>
              <w:ind w:left="220"/>
              <w:spacing w:after="0"/>
              <w:rPr>
                <w:sz w:val="20"/>
                <w:szCs w:val="20"/>
                <w:color w:val="auto"/>
              </w:rPr>
            </w:pPr>
            <w:r>
              <w:rPr>
                <w:rFonts w:ascii="Arial" w:cs="Arial" w:eastAsia="Arial" w:hAnsi="Arial"/>
                <w:sz w:val="20"/>
                <w:szCs w:val="20"/>
                <w:color w:val="auto"/>
              </w:rPr>
              <w:t>of the Statement Date:</w:t>
            </w:r>
          </w:p>
        </w:tc>
        <w:tc>
          <w:tcPr>
            <w:tcW w:w="1220" w:type="dxa"/>
            <w:vAlign w:val="bottom"/>
          </w:tcPr>
          <w:p>
            <w:pPr>
              <w:spacing w:after="0"/>
              <w:rPr>
                <w:sz w:val="21"/>
                <w:szCs w:val="21"/>
                <w:color w:val="auto"/>
              </w:rPr>
            </w:pPr>
          </w:p>
        </w:tc>
      </w:tr>
      <w:tr>
        <w:trPr>
          <w:trHeight w:val="449"/>
        </w:trPr>
        <w:tc>
          <w:tcPr>
            <w:tcW w:w="180" w:type="dxa"/>
            <w:vAlign w:val="bottom"/>
          </w:tcPr>
          <w:p>
            <w:pPr>
              <w:jc w:val="right"/>
              <w:spacing w:after="0"/>
              <w:rPr>
                <w:sz w:val="20"/>
                <w:szCs w:val="20"/>
                <w:color w:val="auto"/>
              </w:rPr>
            </w:pPr>
            <w:r>
              <w:rPr>
                <w:rFonts w:ascii="Arial" w:cs="Arial" w:eastAsia="Arial" w:hAnsi="Arial"/>
                <w:sz w:val="20"/>
                <w:szCs w:val="20"/>
                <w:color w:val="auto"/>
                <w:w w:val="71"/>
              </w:rPr>
              <w:t>2.</w:t>
            </w:r>
          </w:p>
        </w:tc>
        <w:tc>
          <w:tcPr>
            <w:tcW w:w="6740" w:type="dxa"/>
            <w:vAlign w:val="bottom"/>
          </w:tcPr>
          <w:p>
            <w:pPr>
              <w:jc w:val="right"/>
              <w:spacing w:after="0"/>
              <w:rPr>
                <w:sz w:val="20"/>
                <w:szCs w:val="20"/>
                <w:color w:val="auto"/>
              </w:rPr>
            </w:pPr>
            <w:r>
              <w:rPr>
                <w:rFonts w:ascii="Arial" w:cs="Arial" w:eastAsia="Arial" w:hAnsi="Arial"/>
                <w:sz w:val="20"/>
                <w:szCs w:val="20"/>
                <w:color w:val="auto"/>
                <w:w w:val="99"/>
              </w:rPr>
              <w:t>Consolidated Group Pro Rata Share of the aggregate amount of all Secured</w:t>
            </w:r>
          </w:p>
        </w:tc>
        <w:tc>
          <w:tcPr>
            <w:tcW w:w="1220" w:type="dxa"/>
            <w:vAlign w:val="bottom"/>
          </w:tcPr>
          <w:p>
            <w:pPr>
              <w:spacing w:after="0"/>
              <w:rPr>
                <w:sz w:val="24"/>
                <w:szCs w:val="24"/>
                <w:color w:val="auto"/>
              </w:rPr>
            </w:pPr>
          </w:p>
        </w:tc>
      </w:tr>
      <w:tr>
        <w:trPr>
          <w:trHeight w:val="314"/>
        </w:trPr>
        <w:tc>
          <w:tcPr>
            <w:tcW w:w="180" w:type="dxa"/>
            <w:vAlign w:val="bottom"/>
          </w:tcPr>
          <w:p>
            <w:pPr>
              <w:spacing w:after="0"/>
              <w:rPr>
                <w:sz w:val="24"/>
                <w:szCs w:val="24"/>
                <w:color w:val="auto"/>
              </w:rPr>
            </w:pPr>
          </w:p>
        </w:tc>
        <w:tc>
          <w:tcPr>
            <w:tcW w:w="6740" w:type="dxa"/>
            <w:vAlign w:val="bottom"/>
          </w:tcPr>
          <w:p>
            <w:pPr>
              <w:jc w:val="right"/>
              <w:spacing w:after="0"/>
              <w:rPr>
                <w:sz w:val="20"/>
                <w:szCs w:val="20"/>
                <w:color w:val="auto"/>
              </w:rPr>
            </w:pPr>
            <w:r>
              <w:rPr>
                <w:rFonts w:ascii="Arial" w:cs="Arial" w:eastAsia="Arial" w:hAnsi="Arial"/>
                <w:sz w:val="20"/>
                <w:szCs w:val="20"/>
                <w:color w:val="auto"/>
              </w:rPr>
              <w:t>Indebtedness of each Unconsolidated Affiliate that would be reflected on a</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80" w:type="dxa"/>
            <w:vAlign w:val="bottom"/>
          </w:tcPr>
          <w:p>
            <w:pPr>
              <w:spacing w:after="0"/>
              <w:rPr>
                <w:sz w:val="21"/>
                <w:szCs w:val="21"/>
                <w:color w:val="auto"/>
              </w:rPr>
            </w:pPr>
          </w:p>
        </w:tc>
        <w:tc>
          <w:tcPr>
            <w:tcW w:w="6740" w:type="dxa"/>
            <w:vAlign w:val="bottom"/>
          </w:tcPr>
          <w:p>
            <w:pPr>
              <w:ind w:left="220"/>
              <w:spacing w:after="0"/>
              <w:rPr>
                <w:sz w:val="20"/>
                <w:szCs w:val="20"/>
                <w:color w:val="auto"/>
              </w:rPr>
            </w:pPr>
            <w:r>
              <w:rPr>
                <w:rFonts w:ascii="Arial" w:cs="Arial" w:eastAsia="Arial" w:hAnsi="Arial"/>
                <w:sz w:val="20"/>
                <w:szCs w:val="20"/>
                <w:color w:val="auto"/>
              </w:rPr>
              <w:t>balance sheet of such Unconsolidated Affiliate as of the Statement Date:</w:t>
            </w:r>
          </w:p>
        </w:tc>
        <w:tc>
          <w:tcPr>
            <w:tcW w:w="1220" w:type="dxa"/>
            <w:vAlign w:val="bottom"/>
          </w:tcPr>
          <w:p>
            <w:pPr>
              <w:spacing w:after="0"/>
              <w:rPr>
                <w:sz w:val="21"/>
                <w:szCs w:val="2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49" w:lineRule="exact"/>
        <w:rPr>
          <w:sz w:val="20"/>
          <w:szCs w:val="20"/>
          <w:color w:val="auto"/>
        </w:rPr>
      </w:pPr>
    </w:p>
    <w:p>
      <w:pPr>
        <w:ind w:left="660" w:hanging="652"/>
        <w:spacing w:after="0" w:line="303" w:lineRule="auto"/>
        <w:tabs>
          <w:tab w:leader="none" w:pos="66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"Secured Indebtedness" means, with respect to any Person, all Indebtedness of such Person that is secured by a mortgage, deed of trust, lien, pledge, encumbrance, security interest or other Lien.</w:t>
      </w:r>
    </w:p>
    <w:p>
      <w:pPr>
        <w:sectPr>
          <w:pgSz w:w="11900" w:h="16838" w:orient="portrait"/>
          <w:cols w:equalWidth="0" w:num="1">
            <w:col w:w="11380"/>
          </w:cols>
          <w:pgMar w:left="240" w:top="928" w:right="279" w:bottom="1440" w:gutter="0" w:footer="0" w:header="0"/>
          <w:type w:val="continuous"/>
        </w:sectPr>
      </w:pPr>
    </w:p>
    <w:bookmarkStart w:id="246" w:name="page247"/>
    <w:bookmarkEnd w:id="246"/>
    <w:p>
      <w:pPr>
        <w:ind w:left="1840"/>
        <w:spacing w:after="0"/>
        <w:tabs>
          <w:tab w:leader="none" w:pos="8780" w:val="left"/>
        </w:tabs>
        <w:rPr>
          <w:sz w:val="20"/>
          <w:szCs w:val="20"/>
          <w:color w:val="auto"/>
        </w:rPr>
      </w:pPr>
      <w:r>
        <w:rPr>
          <w:rFonts w:ascii="Arial" w:cs="Arial" w:eastAsia="Arial" w:hAnsi="Arial"/>
          <w:sz w:val="20"/>
          <w:szCs w:val="20"/>
          <w:color w:val="auto"/>
        </w:rPr>
        <w:t>3. Consolidated Total Secured Indebtedness (Line II.A.1. + Line II.A.2.):</w:t>
      </w:r>
      <w:r>
        <w:rPr>
          <w:sz w:val="20"/>
          <w:szCs w:val="20"/>
          <w:color w:val="auto"/>
        </w:rPr>
        <w:tab/>
      </w:r>
      <w:r>
        <w:rPr>
          <w:rFonts w:ascii="Arial" w:cs="Arial" w:eastAsia="Arial" w:hAnsi="Arial"/>
          <w:sz w:val="16"/>
          <w:szCs w:val="16"/>
          <w:color w:val="auto"/>
        </w:rPr>
        <w:t>$___________</w:t>
      </w:r>
    </w:p>
    <w:p>
      <w:pPr>
        <w:spacing w:after="0" w:line="200" w:lineRule="exact"/>
        <w:rPr>
          <w:sz w:val="20"/>
          <w:szCs w:val="20"/>
          <w:color w:val="auto"/>
        </w:rPr>
      </w:pPr>
    </w:p>
    <w:p>
      <w:pPr>
        <w:spacing w:after="0" w:line="205" w:lineRule="exact"/>
        <w:rPr>
          <w:sz w:val="20"/>
          <w:szCs w:val="20"/>
          <w:color w:val="auto"/>
        </w:rPr>
      </w:pPr>
    </w:p>
    <w:p>
      <w:pPr>
        <w:ind w:left="1860" w:hanging="927"/>
        <w:spacing w:after="0"/>
        <w:tabs>
          <w:tab w:leader="none" w:pos="186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Secured Total Asset Value at Statement Date:</w:t>
      </w:r>
    </w:p>
    <w:p>
      <w:pPr>
        <w:spacing w:after="0" w:line="200" w:lineRule="exact"/>
        <w:rPr>
          <w:rFonts w:ascii="Arial" w:cs="Arial" w:eastAsia="Arial" w:hAnsi="Arial"/>
          <w:sz w:val="20"/>
          <w:szCs w:val="20"/>
          <w:color w:val="auto"/>
        </w:rPr>
      </w:pPr>
    </w:p>
    <w:p>
      <w:pPr>
        <w:spacing w:after="0" w:line="204"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Total Asset Value:</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jc w:val="right"/>
        <w:ind w:left="2240" w:right="1439" w:hanging="402"/>
        <w:spacing w:after="0" w:line="233" w:lineRule="exact"/>
        <w:tabs>
          <w:tab w:leader="none" w:pos="203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Amount equal to (i) the sum of the Portfolio Property Net Operating Income of each Portfolio  Property  (excluding  each  Disposed  Portfolio  Property,  each Newly</w:t>
      </w:r>
      <w:r>
        <w:rPr>
          <w:rFonts w:ascii="MS PGothic" w:cs="MS PGothic" w:eastAsia="MS PGothic" w:hAnsi="MS PGothic"/>
          <w:sz w:val="18"/>
          <w:szCs w:val="18"/>
          <w:color w:val="auto"/>
        </w:rPr>
        <w:t>‑</w:t>
      </w:r>
      <w:r>
        <w:rPr>
          <w:rFonts w:ascii="Arial" w:cs="Arial" w:eastAsia="Arial" w:hAnsi="Arial"/>
          <w:sz w:val="18"/>
          <w:szCs w:val="18"/>
          <w:color w:val="auto"/>
        </w:rPr>
        <w:t>Acquired Portfolio Property and each Non</w:t>
      </w:r>
      <w:r>
        <w:rPr>
          <w:rFonts w:ascii="MS PGothic" w:cs="MS PGothic" w:eastAsia="MS PGothic" w:hAnsi="MS PGothic"/>
          <w:sz w:val="18"/>
          <w:szCs w:val="18"/>
          <w:color w:val="auto"/>
        </w:rPr>
        <w:t>‑</w:t>
      </w:r>
      <w:r>
        <w:rPr>
          <w:rFonts w:ascii="Arial" w:cs="Arial" w:eastAsia="Arial" w:hAnsi="Arial"/>
          <w:sz w:val="18"/>
          <w:szCs w:val="18"/>
          <w:color w:val="auto"/>
        </w:rPr>
        <w:t>Stabilized Portfolio Property) owned,  or  ground  leased  pursuant  to  an  Eligible  Ground  Lease,  by  the</w:t>
      </w:r>
    </w:p>
    <w:tbl>
      <w:tblPr>
        <w:tblLayout w:type="fixed"/>
        <w:tblInd w:w="1840" w:type="dxa"/>
        <w:tblCellMar>
          <w:top w:w="0" w:type="dxa"/>
          <w:left w:w="0" w:type="dxa"/>
          <w:bottom w:w="0" w:type="dxa"/>
          <w:right w:w="0" w:type="dxa"/>
        </w:tblCellMar>
      </w:tblPr>
      <w:tr>
        <w:trPr>
          <w:trHeight w:val="217"/>
        </w:trPr>
        <w:tc>
          <w:tcPr>
            <w:tcW w:w="180" w:type="dxa"/>
            <w:vAlign w:val="bottom"/>
          </w:tcPr>
          <w:p>
            <w:pPr>
              <w:spacing w:after="0"/>
              <w:rPr>
                <w:sz w:val="18"/>
                <w:szCs w:val="18"/>
                <w:color w:val="auto"/>
              </w:rPr>
            </w:pPr>
          </w:p>
        </w:tc>
        <w:tc>
          <w:tcPr>
            <w:tcW w:w="6760" w:type="dxa"/>
            <w:vAlign w:val="bottom"/>
          </w:tcPr>
          <w:p>
            <w:pPr>
              <w:ind w:left="220"/>
              <w:spacing w:after="0" w:line="216" w:lineRule="exact"/>
              <w:rPr>
                <w:sz w:val="20"/>
                <w:szCs w:val="20"/>
                <w:color w:val="auto"/>
              </w:rPr>
            </w:pPr>
            <w:r>
              <w:rPr>
                <w:rFonts w:ascii="Arial" w:cs="Arial" w:eastAsia="Arial" w:hAnsi="Arial"/>
                <w:sz w:val="20"/>
                <w:szCs w:val="20"/>
                <w:color w:val="auto"/>
              </w:rPr>
              <w:t>Consolidated Group for the fiscal quarter ending on above date (“Subject</w:t>
            </w:r>
          </w:p>
        </w:tc>
        <w:tc>
          <w:tcPr>
            <w:tcW w:w="1280" w:type="dxa"/>
            <w:vAlign w:val="bottom"/>
          </w:tcPr>
          <w:p>
            <w:pPr>
              <w:spacing w:after="0"/>
              <w:rPr>
                <w:sz w:val="18"/>
                <w:szCs w:val="18"/>
                <w:color w:val="auto"/>
              </w:rPr>
            </w:pPr>
          </w:p>
        </w:tc>
      </w:tr>
      <w:tr>
        <w:trPr>
          <w:trHeight w:val="314"/>
        </w:trPr>
        <w:tc>
          <w:tcPr>
            <w:tcW w:w="180" w:type="dxa"/>
            <w:vAlign w:val="bottom"/>
          </w:tcPr>
          <w:p>
            <w:pPr>
              <w:spacing w:after="0"/>
              <w:rPr>
                <w:sz w:val="24"/>
                <w:szCs w:val="24"/>
                <w:color w:val="auto"/>
              </w:rPr>
            </w:pPr>
          </w:p>
        </w:tc>
        <w:tc>
          <w:tcPr>
            <w:tcW w:w="6760" w:type="dxa"/>
            <w:vAlign w:val="bottom"/>
          </w:tcPr>
          <w:p>
            <w:pPr>
              <w:ind w:left="220"/>
              <w:spacing w:after="0"/>
              <w:rPr>
                <w:sz w:val="20"/>
                <w:szCs w:val="20"/>
                <w:color w:val="auto"/>
              </w:rPr>
            </w:pPr>
            <w:r>
              <w:rPr>
                <w:rFonts w:ascii="Arial" w:cs="Arial" w:eastAsia="Arial" w:hAnsi="Arial"/>
                <w:sz w:val="20"/>
                <w:szCs w:val="20"/>
                <w:color w:val="auto"/>
                <w:w w:val="96"/>
              </w:rPr>
              <w:t>Period”) divided by the Applicable Capitalization Rate for each such Portfolio</w:t>
            </w:r>
          </w:p>
        </w:tc>
        <w:tc>
          <w:tcPr>
            <w:tcW w:w="128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80" w:type="dxa"/>
            <w:vAlign w:val="bottom"/>
          </w:tcPr>
          <w:p>
            <w:pPr>
              <w:spacing w:after="0"/>
              <w:rPr>
                <w:sz w:val="21"/>
                <w:szCs w:val="21"/>
                <w:color w:val="auto"/>
              </w:rPr>
            </w:pPr>
          </w:p>
        </w:tc>
        <w:tc>
          <w:tcPr>
            <w:tcW w:w="6760" w:type="dxa"/>
            <w:vAlign w:val="bottom"/>
          </w:tcPr>
          <w:p>
            <w:pPr>
              <w:ind w:left="220"/>
              <w:spacing w:after="0"/>
              <w:rPr>
                <w:sz w:val="20"/>
                <w:szCs w:val="20"/>
                <w:color w:val="auto"/>
              </w:rPr>
            </w:pPr>
            <w:r>
              <w:rPr>
                <w:rFonts w:ascii="Arial" w:cs="Arial" w:eastAsia="Arial" w:hAnsi="Arial"/>
                <w:sz w:val="20"/>
                <w:szCs w:val="20"/>
                <w:color w:val="auto"/>
              </w:rPr>
              <w:t>Property (see Annex I attached hereto for calculation), multiplied by (ii) 4:</w:t>
            </w:r>
          </w:p>
        </w:tc>
        <w:tc>
          <w:tcPr>
            <w:tcW w:w="1280" w:type="dxa"/>
            <w:vAlign w:val="bottom"/>
          </w:tcPr>
          <w:p>
            <w:pPr>
              <w:spacing w:after="0"/>
              <w:rPr>
                <w:sz w:val="21"/>
                <w:szCs w:val="21"/>
                <w:color w:val="auto"/>
              </w:rPr>
            </w:pPr>
          </w:p>
        </w:tc>
      </w:tr>
      <w:tr>
        <w:trPr>
          <w:trHeight w:val="533"/>
        </w:trPr>
        <w:tc>
          <w:tcPr>
            <w:tcW w:w="180" w:type="dxa"/>
            <w:vAlign w:val="bottom"/>
          </w:tcPr>
          <w:p>
            <w:pPr>
              <w:spacing w:after="0"/>
              <w:rPr>
                <w:sz w:val="20"/>
                <w:szCs w:val="20"/>
                <w:color w:val="auto"/>
              </w:rPr>
            </w:pPr>
            <w:r>
              <w:rPr>
                <w:rFonts w:ascii="Arial" w:cs="Arial" w:eastAsia="Arial" w:hAnsi="Arial"/>
                <w:sz w:val="20"/>
                <w:szCs w:val="20"/>
                <w:color w:val="auto"/>
                <w:w w:val="95"/>
              </w:rPr>
              <w:t>2.</w:t>
            </w:r>
          </w:p>
        </w:tc>
        <w:tc>
          <w:tcPr>
            <w:tcW w:w="6760" w:type="dxa"/>
            <w:vAlign w:val="bottom"/>
          </w:tcPr>
          <w:p>
            <w:pPr>
              <w:ind w:left="80"/>
              <w:spacing w:after="0" w:line="230" w:lineRule="exact"/>
              <w:rPr>
                <w:sz w:val="20"/>
                <w:szCs w:val="20"/>
                <w:color w:val="auto"/>
              </w:rPr>
            </w:pPr>
            <w:r>
              <w:rPr>
                <w:rFonts w:ascii="Arial" w:cs="Arial" w:eastAsia="Arial" w:hAnsi="Arial"/>
                <w:sz w:val="20"/>
                <w:szCs w:val="20"/>
                <w:color w:val="auto"/>
              </w:rPr>
              <w:t>Aggregate acquisition cost paid by Consolidated Group for Newly</w:t>
            </w:r>
            <w:r>
              <w:rPr>
                <w:rFonts w:ascii="MS PGothic" w:cs="MS PGothic" w:eastAsia="MS PGothic" w:hAnsi="MS PGothic"/>
                <w:sz w:val="20"/>
                <w:szCs w:val="20"/>
                <w:color w:val="auto"/>
              </w:rPr>
              <w:t>‑</w:t>
            </w:r>
            <w:r>
              <w:rPr>
                <w:rFonts w:ascii="Arial" w:cs="Arial" w:eastAsia="Arial" w:hAnsi="Arial"/>
                <w:sz w:val="20"/>
                <w:szCs w:val="20"/>
                <w:color w:val="auto"/>
              </w:rPr>
              <w:t>Acquired</w:t>
            </w:r>
          </w:p>
        </w:tc>
        <w:tc>
          <w:tcPr>
            <w:tcW w:w="128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80" w:type="dxa"/>
            <w:vAlign w:val="bottom"/>
          </w:tcPr>
          <w:p>
            <w:pPr>
              <w:spacing w:after="0"/>
              <w:rPr>
                <w:sz w:val="21"/>
                <w:szCs w:val="21"/>
                <w:color w:val="auto"/>
              </w:rPr>
            </w:pPr>
          </w:p>
        </w:tc>
        <w:tc>
          <w:tcPr>
            <w:tcW w:w="6760" w:type="dxa"/>
            <w:vAlign w:val="bottom"/>
          </w:tcPr>
          <w:p>
            <w:pPr>
              <w:ind w:left="220"/>
              <w:spacing w:after="0"/>
              <w:rPr>
                <w:sz w:val="20"/>
                <w:szCs w:val="20"/>
                <w:color w:val="auto"/>
              </w:rPr>
            </w:pPr>
            <w:r>
              <w:rPr>
                <w:rFonts w:ascii="Arial" w:cs="Arial" w:eastAsia="Arial" w:hAnsi="Arial"/>
                <w:sz w:val="20"/>
                <w:szCs w:val="20"/>
                <w:color w:val="auto"/>
              </w:rPr>
              <w:t>Portfolio Properties:</w:t>
            </w:r>
          </w:p>
        </w:tc>
        <w:tc>
          <w:tcPr>
            <w:tcW w:w="1280" w:type="dxa"/>
            <w:vAlign w:val="bottom"/>
          </w:tcPr>
          <w:p>
            <w:pPr>
              <w:spacing w:after="0"/>
              <w:rPr>
                <w:sz w:val="21"/>
                <w:szCs w:val="21"/>
                <w:color w:val="auto"/>
              </w:rPr>
            </w:pPr>
          </w:p>
        </w:tc>
      </w:tr>
      <w:tr>
        <w:trPr>
          <w:trHeight w:val="533"/>
        </w:trPr>
        <w:tc>
          <w:tcPr>
            <w:tcW w:w="180" w:type="dxa"/>
            <w:vAlign w:val="bottom"/>
          </w:tcPr>
          <w:p>
            <w:pPr>
              <w:spacing w:after="0"/>
              <w:rPr>
                <w:sz w:val="20"/>
                <w:szCs w:val="20"/>
                <w:color w:val="auto"/>
              </w:rPr>
            </w:pPr>
            <w:r>
              <w:rPr>
                <w:rFonts w:ascii="Arial" w:cs="Arial" w:eastAsia="Arial" w:hAnsi="Arial"/>
                <w:sz w:val="20"/>
                <w:szCs w:val="20"/>
                <w:color w:val="auto"/>
                <w:w w:val="95"/>
              </w:rPr>
              <w:t>3.</w:t>
            </w:r>
          </w:p>
        </w:tc>
        <w:tc>
          <w:tcPr>
            <w:tcW w:w="6760" w:type="dxa"/>
            <w:vAlign w:val="bottom"/>
          </w:tcPr>
          <w:p>
            <w:pPr>
              <w:jc w:val="right"/>
              <w:spacing w:after="0"/>
              <w:rPr>
                <w:sz w:val="20"/>
                <w:szCs w:val="20"/>
                <w:color w:val="auto"/>
              </w:rPr>
            </w:pPr>
            <w:r>
              <w:rPr>
                <w:rFonts w:ascii="Arial" w:cs="Arial" w:eastAsia="Arial" w:hAnsi="Arial"/>
                <w:sz w:val="20"/>
                <w:szCs w:val="20"/>
                <w:color w:val="auto"/>
                <w:w w:val="90"/>
              </w:rPr>
              <w:t>Aggregate book value of all Permitted Investments owned by Consolidated Group at</w:t>
            </w:r>
          </w:p>
        </w:tc>
        <w:tc>
          <w:tcPr>
            <w:tcW w:w="128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80" w:type="dxa"/>
            <w:vAlign w:val="bottom"/>
          </w:tcPr>
          <w:p>
            <w:pPr>
              <w:spacing w:after="0"/>
              <w:rPr>
                <w:sz w:val="21"/>
                <w:szCs w:val="21"/>
                <w:color w:val="auto"/>
              </w:rPr>
            </w:pPr>
          </w:p>
        </w:tc>
        <w:tc>
          <w:tcPr>
            <w:tcW w:w="6760" w:type="dxa"/>
            <w:vAlign w:val="bottom"/>
          </w:tcPr>
          <w:p>
            <w:pPr>
              <w:ind w:left="220"/>
              <w:spacing w:after="0"/>
              <w:rPr>
                <w:sz w:val="20"/>
                <w:szCs w:val="20"/>
                <w:color w:val="auto"/>
              </w:rPr>
            </w:pPr>
            <w:r>
              <w:rPr>
                <w:rFonts w:ascii="Arial" w:cs="Arial" w:eastAsia="Arial" w:hAnsi="Arial"/>
                <w:sz w:val="20"/>
                <w:szCs w:val="20"/>
                <w:color w:val="auto"/>
              </w:rPr>
              <w:t>Statement Date:</w:t>
            </w:r>
          </w:p>
        </w:tc>
        <w:tc>
          <w:tcPr>
            <w:tcW w:w="1280" w:type="dxa"/>
            <w:vAlign w:val="bottom"/>
          </w:tcPr>
          <w:p>
            <w:pPr>
              <w:spacing w:after="0"/>
              <w:rPr>
                <w:sz w:val="21"/>
                <w:szCs w:val="21"/>
                <w:color w:val="auto"/>
              </w:rPr>
            </w:pPr>
          </w:p>
        </w:tc>
      </w:tr>
      <w:tr>
        <w:trPr>
          <w:trHeight w:val="533"/>
        </w:trPr>
        <w:tc>
          <w:tcPr>
            <w:tcW w:w="180" w:type="dxa"/>
            <w:vAlign w:val="bottom"/>
          </w:tcPr>
          <w:p>
            <w:pPr>
              <w:spacing w:after="0"/>
              <w:rPr>
                <w:sz w:val="20"/>
                <w:szCs w:val="20"/>
                <w:color w:val="auto"/>
              </w:rPr>
            </w:pPr>
            <w:r>
              <w:rPr>
                <w:rFonts w:ascii="Arial" w:cs="Arial" w:eastAsia="Arial" w:hAnsi="Arial"/>
                <w:sz w:val="20"/>
                <w:szCs w:val="20"/>
                <w:color w:val="auto"/>
                <w:w w:val="95"/>
              </w:rPr>
              <w:t>4.</w:t>
            </w:r>
          </w:p>
        </w:tc>
        <w:tc>
          <w:tcPr>
            <w:tcW w:w="6760" w:type="dxa"/>
            <w:vAlign w:val="bottom"/>
          </w:tcPr>
          <w:p>
            <w:pPr>
              <w:jc w:val="right"/>
              <w:spacing w:after="0"/>
              <w:rPr>
                <w:sz w:val="20"/>
                <w:szCs w:val="20"/>
                <w:color w:val="auto"/>
              </w:rPr>
            </w:pPr>
            <w:r>
              <w:rPr>
                <w:rFonts w:ascii="Arial" w:cs="Arial" w:eastAsia="Arial" w:hAnsi="Arial"/>
                <w:sz w:val="20"/>
                <w:szCs w:val="20"/>
                <w:color w:val="auto"/>
                <w:w w:val="90"/>
              </w:rPr>
              <w:t>Aggregate undepreciated book value of all Qualified Development Properties and all</w:t>
            </w:r>
          </w:p>
        </w:tc>
        <w:tc>
          <w:tcPr>
            <w:tcW w:w="128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80" w:type="dxa"/>
            <w:vAlign w:val="bottom"/>
          </w:tcPr>
          <w:p>
            <w:pPr>
              <w:spacing w:after="0"/>
              <w:rPr>
                <w:sz w:val="21"/>
                <w:szCs w:val="21"/>
                <w:color w:val="auto"/>
              </w:rPr>
            </w:pPr>
          </w:p>
        </w:tc>
        <w:tc>
          <w:tcPr>
            <w:tcW w:w="6760" w:type="dxa"/>
            <w:vAlign w:val="bottom"/>
          </w:tcPr>
          <w:p>
            <w:pPr>
              <w:ind w:left="220"/>
              <w:spacing w:after="0" w:line="230" w:lineRule="exact"/>
              <w:rPr>
                <w:sz w:val="20"/>
                <w:szCs w:val="20"/>
                <w:color w:val="auto"/>
              </w:rPr>
            </w:pPr>
            <w:r>
              <w:rPr>
                <w:rFonts w:ascii="Arial" w:cs="Arial" w:eastAsia="Arial" w:hAnsi="Arial"/>
                <w:sz w:val="20"/>
                <w:szCs w:val="20"/>
                <w:color w:val="auto"/>
              </w:rPr>
              <w:t>Non</w:t>
            </w:r>
            <w:r>
              <w:rPr>
                <w:rFonts w:ascii="MS PGothic" w:cs="MS PGothic" w:eastAsia="MS PGothic" w:hAnsi="MS PGothic"/>
                <w:sz w:val="20"/>
                <w:szCs w:val="20"/>
                <w:color w:val="auto"/>
              </w:rPr>
              <w:t>‑</w:t>
            </w:r>
            <w:r>
              <w:rPr>
                <w:rFonts w:ascii="Arial" w:cs="Arial" w:eastAsia="Arial" w:hAnsi="Arial"/>
                <w:sz w:val="20"/>
                <w:szCs w:val="20"/>
                <w:color w:val="auto"/>
              </w:rPr>
              <w:t>Stabilized Portfolio Properties at Statement Date:</w:t>
            </w:r>
          </w:p>
        </w:tc>
        <w:tc>
          <w:tcPr>
            <w:tcW w:w="1280" w:type="dxa"/>
            <w:vAlign w:val="bottom"/>
          </w:tcPr>
          <w:p>
            <w:pPr>
              <w:spacing w:after="0"/>
              <w:rPr>
                <w:sz w:val="21"/>
                <w:szCs w:val="21"/>
                <w:color w:val="auto"/>
              </w:rPr>
            </w:pPr>
          </w:p>
        </w:tc>
      </w:tr>
      <w:tr>
        <w:trPr>
          <w:trHeight w:val="469"/>
        </w:trPr>
        <w:tc>
          <w:tcPr>
            <w:tcW w:w="180" w:type="dxa"/>
            <w:vAlign w:val="bottom"/>
          </w:tcPr>
          <w:p>
            <w:pPr>
              <w:spacing w:after="0"/>
              <w:rPr>
                <w:sz w:val="20"/>
                <w:szCs w:val="20"/>
                <w:color w:val="auto"/>
              </w:rPr>
            </w:pPr>
            <w:r>
              <w:rPr>
                <w:rFonts w:ascii="Arial" w:cs="Arial" w:eastAsia="Arial" w:hAnsi="Arial"/>
                <w:sz w:val="20"/>
                <w:szCs w:val="20"/>
                <w:color w:val="auto"/>
                <w:w w:val="95"/>
              </w:rPr>
              <w:t>5.</w:t>
            </w:r>
          </w:p>
        </w:tc>
        <w:tc>
          <w:tcPr>
            <w:tcW w:w="6760" w:type="dxa"/>
            <w:vAlign w:val="bottom"/>
          </w:tcPr>
          <w:p>
            <w:pPr>
              <w:ind w:left="20"/>
              <w:spacing w:after="0"/>
              <w:rPr>
                <w:sz w:val="20"/>
                <w:szCs w:val="20"/>
                <w:color w:val="auto"/>
              </w:rPr>
            </w:pPr>
            <w:r>
              <w:rPr>
                <w:rFonts w:ascii="Arial" w:cs="Arial" w:eastAsia="Arial" w:hAnsi="Arial"/>
                <w:sz w:val="20"/>
                <w:szCs w:val="20"/>
                <w:color w:val="auto"/>
              </w:rPr>
              <w:t>Line II.B.1. + Line II.B.2. + Line II.B.3. + Line II.B.4:</w:t>
            </w:r>
          </w:p>
        </w:tc>
        <w:tc>
          <w:tcPr>
            <w:tcW w:w="128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614"/>
        </w:trPr>
        <w:tc>
          <w:tcPr>
            <w:tcW w:w="180" w:type="dxa"/>
            <w:vAlign w:val="bottom"/>
          </w:tcPr>
          <w:p>
            <w:pPr>
              <w:spacing w:after="0"/>
              <w:rPr>
                <w:sz w:val="20"/>
                <w:szCs w:val="20"/>
                <w:color w:val="auto"/>
              </w:rPr>
            </w:pPr>
            <w:r>
              <w:rPr>
                <w:rFonts w:ascii="Arial" w:cs="Arial" w:eastAsia="Arial" w:hAnsi="Arial"/>
                <w:sz w:val="20"/>
                <w:szCs w:val="20"/>
                <w:color w:val="auto"/>
                <w:w w:val="95"/>
              </w:rPr>
              <w:t>6.</w:t>
            </w:r>
          </w:p>
        </w:tc>
        <w:tc>
          <w:tcPr>
            <w:tcW w:w="6760" w:type="dxa"/>
            <w:vAlign w:val="bottom"/>
          </w:tcPr>
          <w:p>
            <w:pPr>
              <w:jc w:val="right"/>
              <w:spacing w:after="0"/>
              <w:rPr>
                <w:sz w:val="20"/>
                <w:szCs w:val="20"/>
                <w:color w:val="auto"/>
              </w:rPr>
            </w:pPr>
            <w:r>
              <w:rPr>
                <w:rFonts w:ascii="Arial" w:cs="Arial" w:eastAsia="Arial" w:hAnsi="Arial"/>
                <w:sz w:val="20"/>
                <w:szCs w:val="20"/>
                <w:color w:val="auto"/>
                <w:w w:val="95"/>
              </w:rPr>
              <w:t>Consolidated Group Pro Rata Share of items referenced in Lines II.B.1. through</w:t>
            </w:r>
          </w:p>
        </w:tc>
        <w:tc>
          <w:tcPr>
            <w:tcW w:w="12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Arial" w:cs="Arial" w:eastAsia="Arial" w:hAnsi="Arial"/>
                <w:sz w:val="20"/>
                <w:szCs w:val="20"/>
                <w:color w:val="auto"/>
                <w:w w:val="91"/>
              </w:rPr>
              <w:t>II.B.4. (and the components thereof) to the extent relating to Portfolio Properties,</w:t>
            </w:r>
          </w:p>
        </w:tc>
        <w:tc>
          <w:tcPr>
            <w:tcW w:w="1280" w:type="dxa"/>
            <w:vAlign w:val="bottom"/>
          </w:tcPr>
          <w:p>
            <w:pPr>
              <w:spacing w:after="0"/>
              <w:rPr>
                <w:sz w:val="19"/>
                <w:szCs w:val="19"/>
                <w:color w:val="auto"/>
              </w:rPr>
            </w:pPr>
          </w:p>
        </w:tc>
      </w:tr>
      <w:tr>
        <w:trPr>
          <w:trHeight w:val="314"/>
        </w:trPr>
        <w:tc>
          <w:tcPr>
            <w:tcW w:w="180" w:type="dxa"/>
            <w:vAlign w:val="bottom"/>
          </w:tcPr>
          <w:p>
            <w:pPr>
              <w:spacing w:after="0"/>
              <w:rPr>
                <w:sz w:val="24"/>
                <w:szCs w:val="24"/>
                <w:color w:val="auto"/>
              </w:rPr>
            </w:pPr>
          </w:p>
        </w:tc>
        <w:tc>
          <w:tcPr>
            <w:tcW w:w="6760" w:type="dxa"/>
            <w:vAlign w:val="bottom"/>
          </w:tcPr>
          <w:p>
            <w:pPr>
              <w:ind w:left="220"/>
              <w:spacing w:after="0" w:line="230" w:lineRule="exact"/>
              <w:rPr>
                <w:sz w:val="20"/>
                <w:szCs w:val="20"/>
                <w:color w:val="auto"/>
              </w:rPr>
            </w:pPr>
            <w:r>
              <w:rPr>
                <w:rFonts w:ascii="Arial" w:cs="Arial" w:eastAsia="Arial" w:hAnsi="Arial"/>
                <w:sz w:val="20"/>
                <w:szCs w:val="20"/>
                <w:color w:val="auto"/>
                <w:w w:val="97"/>
              </w:rPr>
              <w:t>Permitted Investments, Qualified Development Properties or Non</w:t>
            </w:r>
            <w:r>
              <w:rPr>
                <w:rFonts w:ascii="MS PGothic" w:cs="MS PGothic" w:eastAsia="MS PGothic" w:hAnsi="MS PGothic"/>
                <w:sz w:val="20"/>
                <w:szCs w:val="20"/>
                <w:color w:val="auto"/>
                <w:w w:val="97"/>
              </w:rPr>
              <w:t>‑</w:t>
            </w:r>
            <w:r>
              <w:rPr>
                <w:rFonts w:ascii="Arial" w:cs="Arial" w:eastAsia="Arial" w:hAnsi="Arial"/>
                <w:sz w:val="20"/>
                <w:szCs w:val="20"/>
                <w:color w:val="auto"/>
                <w:w w:val="97"/>
              </w:rPr>
              <w:t>Stabilized</w:t>
            </w:r>
          </w:p>
        </w:tc>
        <w:tc>
          <w:tcPr>
            <w:tcW w:w="128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80" w:type="dxa"/>
            <w:vAlign w:val="bottom"/>
          </w:tcPr>
          <w:p>
            <w:pPr>
              <w:spacing w:after="0"/>
              <w:rPr>
                <w:sz w:val="21"/>
                <w:szCs w:val="21"/>
                <w:color w:val="auto"/>
              </w:rPr>
            </w:pPr>
          </w:p>
        </w:tc>
        <w:tc>
          <w:tcPr>
            <w:tcW w:w="6760" w:type="dxa"/>
            <w:vAlign w:val="bottom"/>
          </w:tcPr>
          <w:p>
            <w:pPr>
              <w:ind w:left="220"/>
              <w:spacing w:after="0"/>
              <w:rPr>
                <w:sz w:val="20"/>
                <w:szCs w:val="20"/>
                <w:color w:val="auto"/>
              </w:rPr>
            </w:pPr>
            <w:r>
              <w:rPr>
                <w:rFonts w:ascii="Arial" w:cs="Arial" w:eastAsia="Arial" w:hAnsi="Arial"/>
                <w:sz w:val="20"/>
                <w:szCs w:val="20"/>
                <w:color w:val="auto"/>
              </w:rPr>
              <w:t>Portfolio Properties, as applicable, owned by Unconsolidated Affiliates:</w:t>
            </w:r>
          </w:p>
        </w:tc>
        <w:tc>
          <w:tcPr>
            <w:tcW w:w="1280" w:type="dxa"/>
            <w:vAlign w:val="bottom"/>
          </w:tcPr>
          <w:p>
            <w:pPr>
              <w:spacing w:after="0"/>
              <w:rPr>
                <w:sz w:val="21"/>
                <w:szCs w:val="21"/>
                <w:color w:val="auto"/>
              </w:rPr>
            </w:pPr>
          </w:p>
        </w:tc>
      </w:tr>
      <w:tr>
        <w:trPr>
          <w:trHeight w:val="469"/>
        </w:trPr>
        <w:tc>
          <w:tcPr>
            <w:tcW w:w="180" w:type="dxa"/>
            <w:vAlign w:val="bottom"/>
          </w:tcPr>
          <w:p>
            <w:pPr>
              <w:spacing w:after="0"/>
              <w:rPr>
                <w:sz w:val="20"/>
                <w:szCs w:val="20"/>
                <w:color w:val="auto"/>
              </w:rPr>
            </w:pPr>
            <w:r>
              <w:rPr>
                <w:rFonts w:ascii="Arial" w:cs="Arial" w:eastAsia="Arial" w:hAnsi="Arial"/>
                <w:sz w:val="20"/>
                <w:szCs w:val="20"/>
                <w:color w:val="auto"/>
                <w:w w:val="95"/>
              </w:rPr>
              <w:t>7.</w:t>
            </w:r>
          </w:p>
        </w:tc>
        <w:tc>
          <w:tcPr>
            <w:tcW w:w="6760" w:type="dxa"/>
            <w:vAlign w:val="bottom"/>
          </w:tcPr>
          <w:p>
            <w:pPr>
              <w:ind w:left="20"/>
              <w:spacing w:after="0"/>
              <w:rPr>
                <w:sz w:val="20"/>
                <w:szCs w:val="20"/>
                <w:color w:val="auto"/>
              </w:rPr>
            </w:pPr>
            <w:r>
              <w:rPr>
                <w:rFonts w:ascii="Arial" w:cs="Arial" w:eastAsia="Arial" w:hAnsi="Arial"/>
                <w:sz w:val="20"/>
                <w:szCs w:val="20"/>
                <w:color w:val="auto"/>
              </w:rPr>
              <w:t>Total Asset Value: Line II.B.5. + Line II.B.6.:</w:t>
            </w:r>
          </w:p>
        </w:tc>
        <w:tc>
          <w:tcPr>
            <w:tcW w:w="128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698"/>
        </w:trPr>
        <w:tc>
          <w:tcPr>
            <w:tcW w:w="180" w:type="dxa"/>
            <w:vAlign w:val="bottom"/>
          </w:tcPr>
          <w:p>
            <w:pPr>
              <w:spacing w:after="0"/>
              <w:rPr>
                <w:sz w:val="20"/>
                <w:szCs w:val="20"/>
                <w:color w:val="auto"/>
              </w:rPr>
            </w:pPr>
            <w:r>
              <w:rPr>
                <w:rFonts w:ascii="Arial" w:cs="Arial" w:eastAsia="Arial" w:hAnsi="Arial"/>
                <w:sz w:val="20"/>
                <w:szCs w:val="20"/>
                <w:color w:val="auto"/>
                <w:w w:val="95"/>
              </w:rPr>
              <w:t>8.</w:t>
            </w:r>
          </w:p>
        </w:tc>
        <w:tc>
          <w:tcPr>
            <w:tcW w:w="6760" w:type="dxa"/>
            <w:vAlign w:val="bottom"/>
          </w:tcPr>
          <w:p>
            <w:pPr>
              <w:jc w:val="right"/>
              <w:spacing w:after="0"/>
              <w:rPr>
                <w:sz w:val="20"/>
                <w:szCs w:val="20"/>
                <w:color w:val="auto"/>
              </w:rPr>
            </w:pPr>
            <w:r>
              <w:rPr>
                <w:rFonts w:ascii="Arial" w:cs="Arial" w:eastAsia="Arial" w:hAnsi="Arial"/>
                <w:sz w:val="20"/>
                <w:szCs w:val="20"/>
                <w:color w:val="auto"/>
                <w:w w:val="94"/>
              </w:rPr>
              <w:t>Cash and Cash Equivalents owned by the Consolidated Group on the Statement</w:t>
            </w:r>
          </w:p>
        </w:tc>
        <w:tc>
          <w:tcPr>
            <w:tcW w:w="128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80" w:type="dxa"/>
            <w:vAlign w:val="bottom"/>
          </w:tcPr>
          <w:p>
            <w:pPr>
              <w:spacing w:after="0"/>
              <w:rPr>
                <w:sz w:val="21"/>
                <w:szCs w:val="21"/>
                <w:color w:val="auto"/>
              </w:rPr>
            </w:pPr>
          </w:p>
        </w:tc>
        <w:tc>
          <w:tcPr>
            <w:tcW w:w="6760" w:type="dxa"/>
            <w:vAlign w:val="bottom"/>
          </w:tcPr>
          <w:p>
            <w:pPr>
              <w:ind w:left="220"/>
              <w:spacing w:after="0"/>
              <w:rPr>
                <w:sz w:val="20"/>
                <w:szCs w:val="20"/>
                <w:color w:val="auto"/>
              </w:rPr>
            </w:pPr>
            <w:r>
              <w:rPr>
                <w:rFonts w:ascii="Arial" w:cs="Arial" w:eastAsia="Arial" w:hAnsi="Arial"/>
                <w:sz w:val="20"/>
                <w:szCs w:val="20"/>
                <w:color w:val="auto"/>
              </w:rPr>
              <w:t>Date:</w:t>
            </w:r>
          </w:p>
        </w:tc>
        <w:tc>
          <w:tcPr>
            <w:tcW w:w="1280" w:type="dxa"/>
            <w:vAlign w:val="bottom"/>
          </w:tcPr>
          <w:p>
            <w:pPr>
              <w:spacing w:after="0"/>
              <w:rPr>
                <w:sz w:val="21"/>
                <w:szCs w:val="21"/>
                <w:color w:val="auto"/>
              </w:rPr>
            </w:pPr>
          </w:p>
        </w:tc>
      </w:tr>
      <w:tr>
        <w:trPr>
          <w:trHeight w:val="533"/>
        </w:trPr>
        <w:tc>
          <w:tcPr>
            <w:tcW w:w="180" w:type="dxa"/>
            <w:vAlign w:val="bottom"/>
          </w:tcPr>
          <w:p>
            <w:pPr>
              <w:spacing w:after="0"/>
              <w:rPr>
                <w:sz w:val="20"/>
                <w:szCs w:val="20"/>
                <w:color w:val="auto"/>
              </w:rPr>
            </w:pPr>
            <w:r>
              <w:rPr>
                <w:rFonts w:ascii="Arial" w:cs="Arial" w:eastAsia="Arial" w:hAnsi="Arial"/>
                <w:sz w:val="20"/>
                <w:szCs w:val="20"/>
                <w:color w:val="auto"/>
                <w:w w:val="95"/>
              </w:rPr>
              <w:t>9.</w:t>
            </w:r>
          </w:p>
        </w:tc>
        <w:tc>
          <w:tcPr>
            <w:tcW w:w="6760" w:type="dxa"/>
            <w:vAlign w:val="bottom"/>
          </w:tcPr>
          <w:p>
            <w:pPr>
              <w:jc w:val="right"/>
              <w:spacing w:after="0"/>
              <w:rPr>
                <w:sz w:val="20"/>
                <w:szCs w:val="20"/>
                <w:color w:val="auto"/>
              </w:rPr>
            </w:pPr>
            <w:r>
              <w:rPr>
                <w:rFonts w:ascii="Arial" w:cs="Arial" w:eastAsia="Arial" w:hAnsi="Arial"/>
                <w:sz w:val="20"/>
                <w:szCs w:val="20"/>
                <w:color w:val="auto"/>
                <w:w w:val="98"/>
              </w:rPr>
              <w:t>Consolidated Group Pro Rata Share of cash and Cash Equivalents owned by</w:t>
            </w:r>
          </w:p>
        </w:tc>
        <w:tc>
          <w:tcPr>
            <w:tcW w:w="128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80" w:type="dxa"/>
            <w:vAlign w:val="bottom"/>
          </w:tcPr>
          <w:p>
            <w:pPr>
              <w:spacing w:after="0"/>
              <w:rPr>
                <w:sz w:val="21"/>
                <w:szCs w:val="21"/>
                <w:color w:val="auto"/>
              </w:rPr>
            </w:pPr>
          </w:p>
        </w:tc>
        <w:tc>
          <w:tcPr>
            <w:tcW w:w="6760" w:type="dxa"/>
            <w:vAlign w:val="bottom"/>
          </w:tcPr>
          <w:p>
            <w:pPr>
              <w:ind w:left="220"/>
              <w:spacing w:after="0"/>
              <w:rPr>
                <w:sz w:val="20"/>
                <w:szCs w:val="20"/>
                <w:color w:val="auto"/>
              </w:rPr>
            </w:pPr>
            <w:r>
              <w:rPr>
                <w:rFonts w:ascii="Arial" w:cs="Arial" w:eastAsia="Arial" w:hAnsi="Arial"/>
                <w:sz w:val="20"/>
                <w:szCs w:val="20"/>
                <w:color w:val="auto"/>
              </w:rPr>
              <w:t>Unconsolidated Affiliates on the Statement Date:</w:t>
            </w:r>
          </w:p>
        </w:tc>
        <w:tc>
          <w:tcPr>
            <w:tcW w:w="1280" w:type="dxa"/>
            <w:vAlign w:val="bottom"/>
          </w:tcPr>
          <w:p>
            <w:pPr>
              <w:spacing w:after="0"/>
              <w:rPr>
                <w:sz w:val="21"/>
                <w:szCs w:val="21"/>
                <w:color w:val="auto"/>
              </w:rPr>
            </w:pPr>
          </w:p>
        </w:tc>
      </w:tr>
      <w:tr>
        <w:trPr>
          <w:trHeight w:val="469"/>
        </w:trPr>
        <w:tc>
          <w:tcPr>
            <w:tcW w:w="6940" w:type="dxa"/>
            <w:vAlign w:val="bottom"/>
            <w:gridSpan w:val="2"/>
          </w:tcPr>
          <w:p>
            <w:pPr>
              <w:spacing w:after="0"/>
              <w:rPr>
                <w:sz w:val="20"/>
                <w:szCs w:val="20"/>
                <w:color w:val="auto"/>
              </w:rPr>
            </w:pPr>
            <w:r>
              <w:rPr>
                <w:rFonts w:ascii="Arial" w:cs="Arial" w:eastAsia="Arial" w:hAnsi="Arial"/>
                <w:sz w:val="20"/>
                <w:szCs w:val="20"/>
                <w:color w:val="auto"/>
              </w:rPr>
              <w:t>10. Secured Total Asset Value: Line II.B.7. + Line II.B.8. + Line II.B.9.:</w:t>
            </w:r>
          </w:p>
        </w:tc>
        <w:tc>
          <w:tcPr>
            <w:tcW w:w="128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608"/>
        </w:trPr>
        <w:tc>
          <w:tcPr>
            <w:tcW w:w="6940" w:type="dxa"/>
            <w:vAlign w:val="bottom"/>
            <w:gridSpan w:val="2"/>
          </w:tcPr>
          <w:p>
            <w:pPr>
              <w:ind w:left="20"/>
              <w:spacing w:after="0"/>
              <w:rPr>
                <w:sz w:val="20"/>
                <w:szCs w:val="20"/>
                <w:color w:val="auto"/>
              </w:rPr>
            </w:pPr>
            <w:r>
              <w:rPr>
                <w:rFonts w:ascii="Arial" w:cs="Arial" w:eastAsia="Arial" w:hAnsi="Arial"/>
                <w:sz w:val="20"/>
                <w:szCs w:val="20"/>
                <w:color w:val="auto"/>
                <w:w w:val="93"/>
              </w:rPr>
              <w:t>Consolidated Secured Leverage Ratio (Line II.A.3. as a percentage of Line II.B.10):</w:t>
            </w:r>
          </w:p>
        </w:tc>
        <w:tc>
          <w:tcPr>
            <w:tcW w:w="1280" w:type="dxa"/>
            <w:vAlign w:val="bottom"/>
          </w:tcPr>
          <w:p>
            <w:pPr>
              <w:jc w:val="right"/>
              <w:spacing w:after="0"/>
              <w:rPr>
                <w:sz w:val="20"/>
                <w:szCs w:val="20"/>
                <w:color w:val="auto"/>
              </w:rPr>
            </w:pPr>
            <w:r>
              <w:rPr>
                <w:rFonts w:ascii="Arial" w:cs="Arial" w:eastAsia="Arial" w:hAnsi="Arial"/>
                <w:sz w:val="20"/>
                <w:szCs w:val="20"/>
                <w:color w:val="auto"/>
              </w:rPr>
              <w:t>_______%</w:t>
            </w:r>
          </w:p>
        </w:tc>
      </w:tr>
    </w:tbl>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0199"/>
          </w:cols>
          <w:pgMar w:left="260" w:top="933" w:right="1440"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50"/>
        </w:trPr>
        <w:tc>
          <w:tcPr>
            <w:tcW w:w="1460" w:type="dxa"/>
            <w:vAlign w:val="bottom"/>
          </w:tcPr>
          <w:p>
            <w:pPr>
              <w:spacing w:after="0"/>
              <w:rPr>
                <w:sz w:val="21"/>
                <w:szCs w:val="21"/>
                <w:color w:val="auto"/>
              </w:rPr>
            </w:pPr>
          </w:p>
        </w:tc>
        <w:tc>
          <w:tcPr>
            <w:tcW w:w="7300" w:type="dxa"/>
            <w:vAlign w:val="bottom"/>
            <w:gridSpan w:val="2"/>
          </w:tcPr>
          <w:p>
            <w:pPr>
              <w:ind w:left="380"/>
              <w:spacing w:after="0"/>
              <w:rPr>
                <w:sz w:val="20"/>
                <w:szCs w:val="20"/>
                <w:color w:val="auto"/>
              </w:rPr>
            </w:pPr>
            <w:r>
              <w:rPr>
                <w:rFonts w:ascii="Arial" w:cs="Arial" w:eastAsia="Arial" w:hAnsi="Arial"/>
                <w:sz w:val="20"/>
                <w:szCs w:val="20"/>
                <w:color w:val="auto"/>
              </w:rPr>
              <w:t>Maximum Permitted Consolidated Secured Leverage Ratio:</w:t>
            </w:r>
          </w:p>
        </w:tc>
        <w:tc>
          <w:tcPr>
            <w:tcW w:w="1220" w:type="dxa"/>
            <w:vAlign w:val="bottom"/>
          </w:tcPr>
          <w:p>
            <w:pPr>
              <w:spacing w:after="0"/>
              <w:rPr>
                <w:sz w:val="21"/>
                <w:szCs w:val="21"/>
                <w:color w:val="auto"/>
              </w:rPr>
            </w:pPr>
          </w:p>
        </w:tc>
      </w:tr>
      <w:tr>
        <w:trPr>
          <w:trHeight w:val="500"/>
        </w:trPr>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20"/>
                <w:szCs w:val="20"/>
                <w:color w:val="auto"/>
              </w:rPr>
              <w:t>Prior to December 31, 2015</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45%</w:t>
            </w:r>
          </w:p>
        </w:tc>
      </w:tr>
      <w:tr>
        <w:trPr>
          <w:trHeight w:val="500"/>
        </w:trPr>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20"/>
                <w:szCs w:val="20"/>
                <w:color w:val="auto"/>
              </w:rPr>
              <w:t>On or after December 31, 2015</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40%</w:t>
            </w:r>
          </w:p>
        </w:tc>
      </w:tr>
      <w:tr>
        <w:trPr>
          <w:trHeight w:val="554"/>
        </w:trPr>
        <w:tc>
          <w:tcPr>
            <w:tcW w:w="8760" w:type="dxa"/>
            <w:vAlign w:val="bottom"/>
            <w:gridSpan w:val="3"/>
          </w:tcPr>
          <w:p>
            <w:pPr>
              <w:jc w:val="right"/>
              <w:ind w:right="2801"/>
              <w:spacing w:after="0"/>
              <w:rPr>
                <w:sz w:val="20"/>
                <w:szCs w:val="20"/>
                <w:color w:val="auto"/>
              </w:rPr>
            </w:pPr>
            <w:r>
              <w:rPr>
                <w:rFonts w:ascii="Arial" w:cs="Arial" w:eastAsia="Arial" w:hAnsi="Arial"/>
                <w:sz w:val="20"/>
                <w:szCs w:val="20"/>
                <w:color w:val="auto"/>
                <w:w w:val="95"/>
              </w:rPr>
              <w:t>III. SECTION 10.9(c) – CONSOLIDATED TOTAL LEVERAGE RATIO</w:t>
            </w:r>
          </w:p>
        </w:tc>
        <w:tc>
          <w:tcPr>
            <w:tcW w:w="1220" w:type="dxa"/>
            <w:vAlign w:val="bottom"/>
          </w:tcPr>
          <w:p>
            <w:pPr>
              <w:spacing w:after="0"/>
              <w:rPr>
                <w:sz w:val="24"/>
                <w:szCs w:val="24"/>
                <w:color w:val="auto"/>
              </w:rPr>
            </w:pPr>
          </w:p>
        </w:tc>
      </w:tr>
      <w:tr>
        <w:trPr>
          <w:trHeight w:val="527"/>
        </w:trPr>
        <w:tc>
          <w:tcPr>
            <w:tcW w:w="1460" w:type="dxa"/>
            <w:vAlign w:val="bottom"/>
          </w:tcPr>
          <w:p>
            <w:pPr>
              <w:ind w:left="920"/>
              <w:spacing w:after="0"/>
              <w:rPr>
                <w:sz w:val="20"/>
                <w:szCs w:val="20"/>
                <w:color w:val="auto"/>
              </w:rPr>
            </w:pPr>
            <w:r>
              <w:rPr>
                <w:rFonts w:ascii="Arial" w:cs="Arial" w:eastAsia="Arial" w:hAnsi="Arial"/>
                <w:sz w:val="20"/>
                <w:szCs w:val="20"/>
                <w:color w:val="auto"/>
              </w:rPr>
              <w:t>A.</w:t>
            </w:r>
          </w:p>
        </w:tc>
        <w:tc>
          <w:tcPr>
            <w:tcW w:w="7300" w:type="dxa"/>
            <w:vAlign w:val="bottom"/>
            <w:gridSpan w:val="2"/>
          </w:tcPr>
          <w:p>
            <w:pPr>
              <w:ind w:left="380"/>
              <w:spacing w:after="0"/>
              <w:rPr>
                <w:sz w:val="20"/>
                <w:szCs w:val="20"/>
                <w:color w:val="auto"/>
              </w:rPr>
            </w:pPr>
            <w:r>
              <w:rPr>
                <w:rFonts w:ascii="Arial" w:cs="Arial" w:eastAsia="Arial" w:hAnsi="Arial"/>
                <w:sz w:val="20"/>
                <w:szCs w:val="20"/>
                <w:color w:val="auto"/>
              </w:rPr>
              <w:t>Consolidated Total Indebtedness at Statement Date:</w:t>
            </w:r>
          </w:p>
        </w:tc>
        <w:tc>
          <w:tcPr>
            <w:tcW w:w="1220" w:type="dxa"/>
            <w:vAlign w:val="bottom"/>
          </w:tcPr>
          <w:p>
            <w:pPr>
              <w:spacing w:after="0"/>
              <w:rPr>
                <w:sz w:val="24"/>
                <w:szCs w:val="24"/>
                <w:color w:val="auto"/>
              </w:rPr>
            </w:pPr>
          </w:p>
        </w:tc>
      </w:tr>
      <w:tr>
        <w:trPr>
          <w:trHeight w:val="641"/>
        </w:trPr>
        <w:tc>
          <w:tcPr>
            <w:tcW w:w="146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Arial" w:cs="Arial" w:eastAsia="Arial" w:hAnsi="Arial"/>
                <w:sz w:val="20"/>
                <w:szCs w:val="20"/>
                <w:color w:val="auto"/>
                <w:w w:val="83"/>
              </w:rPr>
              <w:t>1.</w:t>
            </w:r>
          </w:p>
        </w:tc>
        <w:tc>
          <w:tcPr>
            <w:tcW w:w="6780" w:type="dxa"/>
            <w:vAlign w:val="bottom"/>
          </w:tcPr>
          <w:p>
            <w:pPr>
              <w:jc w:val="right"/>
              <w:spacing w:after="0"/>
              <w:rPr>
                <w:sz w:val="20"/>
                <w:szCs w:val="20"/>
                <w:color w:val="auto"/>
              </w:rPr>
            </w:pPr>
            <w:r>
              <w:rPr>
                <w:rFonts w:ascii="Arial" w:cs="Arial" w:eastAsia="Arial" w:hAnsi="Arial"/>
                <w:sz w:val="20"/>
                <w:szCs w:val="20"/>
                <w:color w:val="auto"/>
                <w:w w:val="95"/>
              </w:rPr>
              <w:t>Aggregate amount of all Indebtedness of the Consolidated Group that would be</w:t>
            </w:r>
          </w:p>
        </w:tc>
        <w:tc>
          <w:tcPr>
            <w:tcW w:w="1220" w:type="dxa"/>
            <w:vAlign w:val="bottom"/>
          </w:tcPr>
          <w:p>
            <w:pPr>
              <w:spacing w:after="0"/>
              <w:rPr>
                <w:sz w:val="24"/>
                <w:szCs w:val="24"/>
                <w:color w:val="auto"/>
              </w:rPr>
            </w:pPr>
          </w:p>
        </w:tc>
      </w:tr>
      <w:tr>
        <w:trPr>
          <w:trHeight w:val="314"/>
        </w:trPr>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20"/>
                <w:szCs w:val="20"/>
                <w:color w:val="auto"/>
              </w:rPr>
              <w:t>reflected on a consolidated balance sheet of the Consolidated Group as of</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780" w:type="dxa"/>
            <w:vAlign w:val="bottom"/>
          </w:tcPr>
          <w:p>
            <w:pPr>
              <w:ind w:left="240"/>
              <w:spacing w:after="0"/>
              <w:rPr>
                <w:sz w:val="20"/>
                <w:szCs w:val="20"/>
                <w:color w:val="auto"/>
              </w:rPr>
            </w:pPr>
            <w:r>
              <w:rPr>
                <w:rFonts w:ascii="Arial" w:cs="Arial" w:eastAsia="Arial" w:hAnsi="Arial"/>
                <w:sz w:val="20"/>
                <w:szCs w:val="20"/>
                <w:color w:val="auto"/>
              </w:rPr>
              <w:t>Statement Date:</w:t>
            </w:r>
          </w:p>
        </w:tc>
        <w:tc>
          <w:tcPr>
            <w:tcW w:w="1220" w:type="dxa"/>
            <w:vAlign w:val="bottom"/>
          </w:tcPr>
          <w:p>
            <w:pPr>
              <w:spacing w:after="0"/>
              <w:rPr>
                <w:sz w:val="21"/>
                <w:szCs w:val="21"/>
                <w:color w:val="auto"/>
              </w:rPr>
            </w:pPr>
          </w:p>
        </w:tc>
      </w:tr>
      <w:tr>
        <w:trPr>
          <w:trHeight w:val="449"/>
        </w:trPr>
        <w:tc>
          <w:tcPr>
            <w:tcW w:w="146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Arial" w:cs="Arial" w:eastAsia="Arial" w:hAnsi="Arial"/>
                <w:sz w:val="20"/>
                <w:szCs w:val="20"/>
                <w:color w:val="auto"/>
                <w:w w:val="83"/>
              </w:rPr>
              <w:t>2.</w:t>
            </w:r>
          </w:p>
        </w:tc>
        <w:tc>
          <w:tcPr>
            <w:tcW w:w="6780" w:type="dxa"/>
            <w:vAlign w:val="bottom"/>
          </w:tcPr>
          <w:p>
            <w:pPr>
              <w:jc w:val="right"/>
              <w:spacing w:after="0"/>
              <w:rPr>
                <w:sz w:val="20"/>
                <w:szCs w:val="20"/>
                <w:color w:val="auto"/>
              </w:rPr>
            </w:pPr>
            <w:r>
              <w:rPr>
                <w:rFonts w:ascii="Arial" w:cs="Arial" w:eastAsia="Arial" w:hAnsi="Arial"/>
                <w:sz w:val="20"/>
                <w:szCs w:val="20"/>
                <w:color w:val="auto"/>
                <w:w w:val="90"/>
              </w:rPr>
              <w:t>Consolidated Group Pro Rata Share of the aggregate amount of all Indebtedness of</w:t>
            </w:r>
          </w:p>
        </w:tc>
        <w:tc>
          <w:tcPr>
            <w:tcW w:w="1220" w:type="dxa"/>
            <w:vAlign w:val="bottom"/>
          </w:tcPr>
          <w:p>
            <w:pPr>
              <w:spacing w:after="0"/>
              <w:rPr>
                <w:sz w:val="24"/>
                <w:szCs w:val="24"/>
                <w:color w:val="auto"/>
              </w:rPr>
            </w:pPr>
          </w:p>
        </w:tc>
      </w:tr>
      <w:tr>
        <w:trPr>
          <w:trHeight w:val="314"/>
        </w:trPr>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20"/>
                <w:szCs w:val="20"/>
                <w:color w:val="auto"/>
                <w:w w:val="95"/>
              </w:rPr>
              <w:t>each Unconsolidated Affiliate that would be reflected on a balance sheet of such</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780" w:type="dxa"/>
            <w:vAlign w:val="bottom"/>
          </w:tcPr>
          <w:p>
            <w:pPr>
              <w:ind w:left="240"/>
              <w:spacing w:after="0"/>
              <w:rPr>
                <w:sz w:val="20"/>
                <w:szCs w:val="20"/>
                <w:color w:val="auto"/>
              </w:rPr>
            </w:pPr>
            <w:r>
              <w:rPr>
                <w:rFonts w:ascii="Arial" w:cs="Arial" w:eastAsia="Arial" w:hAnsi="Arial"/>
                <w:sz w:val="20"/>
                <w:szCs w:val="20"/>
                <w:color w:val="auto"/>
              </w:rPr>
              <w:t>Unconsolidated Affiliate as of Statement Date:</w:t>
            </w:r>
          </w:p>
        </w:tc>
        <w:tc>
          <w:tcPr>
            <w:tcW w:w="1220" w:type="dxa"/>
            <w:vAlign w:val="bottom"/>
          </w:tcPr>
          <w:p>
            <w:pPr>
              <w:spacing w:after="0"/>
              <w:rPr>
                <w:sz w:val="21"/>
                <w:szCs w:val="21"/>
                <w:color w:val="auto"/>
              </w:rPr>
            </w:pPr>
          </w:p>
        </w:tc>
      </w:tr>
      <w:tr>
        <w:trPr>
          <w:trHeight w:val="469"/>
        </w:trPr>
        <w:tc>
          <w:tcPr>
            <w:tcW w:w="146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Arial" w:cs="Arial" w:eastAsia="Arial" w:hAnsi="Arial"/>
                <w:sz w:val="20"/>
                <w:szCs w:val="20"/>
                <w:color w:val="auto"/>
                <w:w w:val="83"/>
              </w:rPr>
              <w:t>3.</w:t>
            </w:r>
          </w:p>
        </w:tc>
        <w:tc>
          <w:tcPr>
            <w:tcW w:w="6780" w:type="dxa"/>
            <w:vAlign w:val="bottom"/>
          </w:tcPr>
          <w:p>
            <w:pPr>
              <w:jc w:val="right"/>
              <w:ind w:right="1621"/>
              <w:spacing w:after="0"/>
              <w:rPr>
                <w:sz w:val="20"/>
                <w:szCs w:val="20"/>
                <w:color w:val="auto"/>
              </w:rPr>
            </w:pPr>
            <w:r>
              <w:rPr>
                <w:rFonts w:ascii="Arial" w:cs="Arial" w:eastAsia="Arial" w:hAnsi="Arial"/>
                <w:sz w:val="20"/>
                <w:szCs w:val="20"/>
                <w:color w:val="auto"/>
                <w:w w:val="92"/>
              </w:rPr>
              <w:t>Consolidated Total Indebtedness (Line III.A.1. + Line III.A.2.):</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bl>
    <w:p>
      <w:pPr>
        <w:spacing w:after="0" w:line="357" w:lineRule="exact"/>
        <w:rPr>
          <w:sz w:val="20"/>
          <w:szCs w:val="20"/>
          <w:color w:val="auto"/>
        </w:rPr>
      </w:pPr>
    </w:p>
    <w:p>
      <w:pPr>
        <w:ind w:left="1840" w:hanging="927"/>
        <w:spacing w:after="0"/>
        <w:tabs>
          <w:tab w:leader="none" w:pos="18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Unrestricted Cash Amount at Statement Date:</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2040" w:hanging="222"/>
        <w:spacing w:after="0"/>
        <w:tabs>
          <w:tab w:leader="none" w:pos="204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Aggregate amount of cash and Cash Equivalents of the Consolidated Group on</w:t>
      </w:r>
    </w:p>
    <w:tbl>
      <w:tblPr>
        <w:tblLayout w:type="fixed"/>
        <w:tblInd w:w="92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5"/>
              </w:rPr>
              <w:t>Statement Date that are not subject to any pledge, Lien or control agreement</w:t>
            </w:r>
          </w:p>
        </w:tc>
        <w:tc>
          <w:tcPr>
            <w:tcW w:w="1220" w:type="dxa"/>
            <w:vAlign w:val="bottom"/>
          </w:tcPr>
          <w:p>
            <w:pPr>
              <w:spacing w:after="0"/>
              <w:rPr>
                <w:sz w:val="19"/>
                <w:szCs w:val="19"/>
                <w:color w:val="auto"/>
              </w:rPr>
            </w:pPr>
          </w:p>
        </w:tc>
      </w:tr>
      <w:tr>
        <w:trPr>
          <w:trHeight w:val="314"/>
        </w:trPr>
        <w:tc>
          <w:tcPr>
            <w:tcW w:w="540" w:type="dxa"/>
            <w:vAlign w:val="bottom"/>
          </w:tcPr>
          <w:p>
            <w:pPr>
              <w:spacing w:after="0"/>
              <w:rPr>
                <w:sz w:val="24"/>
                <w:szCs w:val="24"/>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5"/>
              </w:rPr>
              <w:t>(excluding statutory Liens in favor of any depositary bank where such cash is</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540" w:type="dxa"/>
            <w:vAlign w:val="bottom"/>
          </w:tcPr>
          <w:p>
            <w:pPr>
              <w:spacing w:after="0"/>
              <w:rPr>
                <w:sz w:val="21"/>
                <w:szCs w:val="21"/>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maintained):</w:t>
            </w:r>
          </w:p>
        </w:tc>
        <w:tc>
          <w:tcPr>
            <w:tcW w:w="1220" w:type="dxa"/>
            <w:vAlign w:val="bottom"/>
          </w:tcPr>
          <w:p>
            <w:pPr>
              <w:spacing w:after="0"/>
              <w:rPr>
                <w:sz w:val="21"/>
                <w:szCs w:val="21"/>
                <w:color w:val="auto"/>
              </w:rPr>
            </w:pPr>
          </w:p>
        </w:tc>
      </w:tr>
      <w:tr>
        <w:trPr>
          <w:trHeight w:val="449"/>
        </w:trPr>
        <w:tc>
          <w:tcPr>
            <w:tcW w:w="540" w:type="dxa"/>
            <w:vAlign w:val="bottom"/>
          </w:tcPr>
          <w:p>
            <w:pPr>
              <w:spacing w:after="0"/>
              <w:rPr>
                <w:sz w:val="24"/>
                <w:szCs w:val="24"/>
                <w:color w:val="auto"/>
              </w:rPr>
            </w:pPr>
          </w:p>
        </w:tc>
        <w:tc>
          <w:tcPr>
            <w:tcW w:w="7300" w:type="dxa"/>
            <w:vAlign w:val="bottom"/>
          </w:tcPr>
          <w:p>
            <w:pPr>
              <w:ind w:left="360"/>
              <w:spacing w:after="0"/>
              <w:rPr>
                <w:sz w:val="20"/>
                <w:szCs w:val="20"/>
                <w:color w:val="auto"/>
              </w:rPr>
            </w:pPr>
            <w:r>
              <w:rPr>
                <w:rFonts w:ascii="Arial" w:cs="Arial" w:eastAsia="Arial" w:hAnsi="Arial"/>
                <w:sz w:val="20"/>
                <w:szCs w:val="20"/>
                <w:color w:val="auto"/>
                <w:w w:val="98"/>
              </w:rPr>
              <w:t>2. Amounts included in Line III.B.1. above that are held in the name of, or in the</w:t>
            </w:r>
          </w:p>
        </w:tc>
        <w:tc>
          <w:tcPr>
            <w:tcW w:w="1220" w:type="dxa"/>
            <w:vAlign w:val="bottom"/>
          </w:tcPr>
          <w:p>
            <w:pPr>
              <w:spacing w:after="0"/>
              <w:rPr>
                <w:sz w:val="24"/>
                <w:szCs w:val="24"/>
                <w:color w:val="auto"/>
              </w:rPr>
            </w:pPr>
          </w:p>
        </w:tc>
      </w:tr>
      <w:tr>
        <w:trPr>
          <w:trHeight w:val="230"/>
        </w:trPr>
        <w:tc>
          <w:tcPr>
            <w:tcW w:w="540" w:type="dxa"/>
            <w:vAlign w:val="bottom"/>
          </w:tcPr>
          <w:p>
            <w:pPr>
              <w:spacing w:after="0"/>
              <w:rPr>
                <w:sz w:val="19"/>
                <w:szCs w:val="19"/>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2"/>
              </w:rPr>
              <w:t>possession or control of a Person (other than any possession or control by such</w:t>
            </w:r>
          </w:p>
        </w:tc>
        <w:tc>
          <w:tcPr>
            <w:tcW w:w="1220" w:type="dxa"/>
            <w:vAlign w:val="bottom"/>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3"/>
              </w:rPr>
              <w:t>Person arising solely from such Person acting in its capacity as a depository or</w:t>
            </w:r>
          </w:p>
        </w:tc>
        <w:tc>
          <w:tcPr>
            <w:tcW w:w="1220" w:type="dxa"/>
            <w:vAlign w:val="bottom"/>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2"/>
              </w:rPr>
              <w:t>financial intermediary for, or on behalf of, a member of the Consolidated Group)</w:t>
            </w:r>
          </w:p>
        </w:tc>
        <w:tc>
          <w:tcPr>
            <w:tcW w:w="1220" w:type="dxa"/>
            <w:vAlign w:val="bottom"/>
          </w:tcPr>
          <w:p>
            <w:pPr>
              <w:spacing w:after="0"/>
              <w:rPr>
                <w:sz w:val="19"/>
                <w:szCs w:val="19"/>
                <w:color w:val="auto"/>
              </w:rPr>
            </w:pPr>
          </w:p>
        </w:tc>
      </w:tr>
      <w:tr>
        <w:trPr>
          <w:trHeight w:val="314"/>
        </w:trPr>
        <w:tc>
          <w:tcPr>
            <w:tcW w:w="540" w:type="dxa"/>
            <w:vAlign w:val="bottom"/>
          </w:tcPr>
          <w:p>
            <w:pPr>
              <w:spacing w:after="0"/>
              <w:rPr>
                <w:sz w:val="24"/>
                <w:szCs w:val="24"/>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89"/>
              </w:rPr>
              <w:t>that is not the REIT, the Company or any their respective Subsidiaries as deposits</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540" w:type="dxa"/>
            <w:vAlign w:val="bottom"/>
          </w:tcPr>
          <w:p>
            <w:pPr>
              <w:spacing w:after="0"/>
              <w:rPr>
                <w:sz w:val="21"/>
                <w:szCs w:val="21"/>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or security for contractual obligations:</w:t>
            </w:r>
          </w:p>
        </w:tc>
        <w:tc>
          <w:tcPr>
            <w:tcW w:w="1220" w:type="dxa"/>
            <w:vAlign w:val="bottom"/>
          </w:tcPr>
          <w:p>
            <w:pPr>
              <w:spacing w:after="0"/>
              <w:rPr>
                <w:sz w:val="21"/>
                <w:szCs w:val="21"/>
                <w:color w:val="auto"/>
              </w:rPr>
            </w:pPr>
          </w:p>
        </w:tc>
      </w:tr>
      <w:tr>
        <w:trPr>
          <w:trHeight w:val="533"/>
        </w:trPr>
        <w:tc>
          <w:tcPr>
            <w:tcW w:w="540" w:type="dxa"/>
            <w:vAlign w:val="bottom"/>
          </w:tcPr>
          <w:p>
            <w:pPr>
              <w:spacing w:after="0"/>
              <w:rPr>
                <w:sz w:val="24"/>
                <w:szCs w:val="24"/>
                <w:color w:val="auto"/>
              </w:rPr>
            </w:pPr>
          </w:p>
        </w:tc>
        <w:tc>
          <w:tcPr>
            <w:tcW w:w="7300" w:type="dxa"/>
            <w:vAlign w:val="bottom"/>
          </w:tcPr>
          <w:p>
            <w:pPr>
              <w:ind w:left="360"/>
              <w:spacing w:after="0"/>
              <w:rPr>
                <w:sz w:val="20"/>
                <w:szCs w:val="20"/>
                <w:color w:val="auto"/>
              </w:rPr>
            </w:pPr>
            <w:r>
              <w:rPr>
                <w:rFonts w:ascii="Arial" w:cs="Arial" w:eastAsia="Arial" w:hAnsi="Arial"/>
                <w:sz w:val="20"/>
                <w:szCs w:val="20"/>
                <w:color w:val="auto"/>
                <w:w w:val="92"/>
              </w:rPr>
              <w:t>3. Unrestricted Cash Amount (Greater of (x) Line III.B.1. - (the sum of $15,000,000 +</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540" w:type="dxa"/>
            <w:vAlign w:val="bottom"/>
          </w:tcPr>
          <w:p>
            <w:pPr>
              <w:spacing w:after="0"/>
              <w:rPr>
                <w:sz w:val="21"/>
                <w:szCs w:val="21"/>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Line III.B.2. + Line III.B.3.) and (y) $0):</w:t>
            </w:r>
          </w:p>
        </w:tc>
        <w:tc>
          <w:tcPr>
            <w:tcW w:w="1220" w:type="dxa"/>
            <w:vAlign w:val="bottom"/>
          </w:tcPr>
          <w:p>
            <w:pPr>
              <w:spacing w:after="0"/>
              <w:rPr>
                <w:sz w:val="21"/>
                <w:szCs w:val="21"/>
                <w:color w:val="auto"/>
              </w:rPr>
            </w:pPr>
          </w:p>
        </w:tc>
      </w:tr>
      <w:tr>
        <w:trPr>
          <w:trHeight w:val="442"/>
        </w:trPr>
        <w:tc>
          <w:tcPr>
            <w:tcW w:w="540" w:type="dxa"/>
            <w:vAlign w:val="bottom"/>
          </w:tcPr>
          <w:p>
            <w:pPr>
              <w:spacing w:after="0"/>
              <w:rPr>
                <w:sz w:val="20"/>
                <w:szCs w:val="20"/>
                <w:color w:val="auto"/>
              </w:rPr>
            </w:pPr>
            <w:r>
              <w:rPr>
                <w:rFonts w:ascii="Arial" w:cs="Arial" w:eastAsia="Arial" w:hAnsi="Arial"/>
                <w:sz w:val="20"/>
                <w:szCs w:val="20"/>
                <w:color w:val="auto"/>
              </w:rPr>
              <w:t>C.</w:t>
            </w:r>
          </w:p>
        </w:tc>
        <w:tc>
          <w:tcPr>
            <w:tcW w:w="7300" w:type="dxa"/>
            <w:vAlign w:val="bottom"/>
          </w:tcPr>
          <w:p>
            <w:pPr>
              <w:ind w:left="380"/>
              <w:spacing w:after="0"/>
              <w:rPr>
                <w:sz w:val="20"/>
                <w:szCs w:val="20"/>
                <w:color w:val="auto"/>
              </w:rPr>
            </w:pPr>
            <w:r>
              <w:rPr>
                <w:rFonts w:ascii="Arial" w:cs="Arial" w:eastAsia="Arial" w:hAnsi="Arial"/>
                <w:sz w:val="20"/>
                <w:szCs w:val="20"/>
                <w:color w:val="auto"/>
              </w:rPr>
              <w:t>Total Asset Value at Statement Date (Line II.B.7.):</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bl>
    <w:p>
      <w:pPr>
        <w:spacing w:after="0" w:line="384" w:lineRule="exact"/>
        <w:rPr>
          <w:sz w:val="20"/>
          <w:szCs w:val="20"/>
          <w:color w:val="auto"/>
        </w:rPr>
      </w:pPr>
    </w:p>
    <w:p>
      <w:pPr>
        <w:ind w:left="1840" w:hanging="927"/>
        <w:spacing w:after="0"/>
        <w:tabs>
          <w:tab w:leader="none" w:pos="184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Consolidated Total Indebtedness minus Unrestricted Cash Amount (Line III.A.3. –</w:t>
      </w:r>
    </w:p>
    <w:p>
      <w:pPr>
        <w:spacing w:after="0" w:line="16" w:lineRule="exact"/>
        <w:rPr>
          <w:sz w:val="20"/>
          <w:szCs w:val="20"/>
          <w:color w:val="auto"/>
        </w:rPr>
      </w:pPr>
    </w:p>
    <w:tbl>
      <w:tblPr>
        <w:tblLayout w:type="fixed"/>
        <w:tblInd w:w="184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auto"/>
              </w:rPr>
              <w:t>Line III.B.4.):</w:t>
            </w:r>
          </w:p>
        </w:tc>
        <w:tc>
          <w:tcPr>
            <w:tcW w:w="1680" w:type="dxa"/>
            <w:vAlign w:val="bottom"/>
          </w:tcPr>
          <w:p>
            <w:pPr>
              <w:jc w:val="right"/>
              <w:spacing w:after="0"/>
              <w:rPr>
                <w:sz w:val="20"/>
                <w:szCs w:val="20"/>
                <w:color w:val="auto"/>
              </w:rPr>
            </w:pPr>
            <w:r>
              <w:rPr>
                <w:rFonts w:ascii="Arial" w:cs="Arial" w:eastAsia="Arial" w:hAnsi="Arial"/>
                <w:sz w:val="20"/>
                <w:szCs w:val="20"/>
                <w:color w:val="auto"/>
              </w:rPr>
              <w:t>$___________</w:t>
            </w:r>
          </w:p>
        </w:tc>
        <w:tc>
          <w:tcPr>
            <w:tcW w:w="0" w:type="dxa"/>
            <w:vAlign w:val="bottom"/>
          </w:tcPr>
          <w:p>
            <w:pPr>
              <w:spacing w:after="0"/>
              <w:rPr>
                <w:sz w:val="1"/>
                <w:szCs w:val="1"/>
                <w:color w:val="auto"/>
              </w:rPr>
            </w:pPr>
          </w:p>
        </w:tc>
      </w:tr>
      <w:tr>
        <w:trPr>
          <w:trHeight w:val="619"/>
        </w:trPr>
        <w:tc>
          <w:tcPr>
            <w:tcW w:w="6520" w:type="dxa"/>
            <w:vAlign w:val="bottom"/>
          </w:tcPr>
          <w:p>
            <w:pPr>
              <w:spacing w:after="0"/>
              <w:rPr>
                <w:sz w:val="20"/>
                <w:szCs w:val="20"/>
                <w:color w:val="auto"/>
              </w:rPr>
            </w:pPr>
            <w:r>
              <w:rPr>
                <w:rFonts w:ascii="Arial" w:cs="Arial" w:eastAsia="Arial" w:hAnsi="Arial"/>
                <w:sz w:val="20"/>
                <w:szCs w:val="20"/>
                <w:color w:val="auto"/>
                <w:w w:val="97"/>
              </w:rPr>
              <w:t>Consolidated Total Leverage Ratio (Line III.D as a percentage of Line III.C):</w:t>
            </w:r>
          </w:p>
        </w:tc>
        <w:tc>
          <w:tcPr>
            <w:tcW w:w="1680" w:type="dxa"/>
            <w:vAlign w:val="bottom"/>
          </w:tcPr>
          <w:p>
            <w:pPr>
              <w:jc w:val="right"/>
              <w:spacing w:after="0"/>
              <w:rPr>
                <w:sz w:val="20"/>
                <w:szCs w:val="20"/>
                <w:color w:val="auto"/>
              </w:rPr>
            </w:pPr>
            <w:r>
              <w:rPr>
                <w:rFonts w:ascii="Arial" w:cs="Arial" w:eastAsia="Arial" w:hAnsi="Arial"/>
                <w:sz w:val="20"/>
                <w:szCs w:val="20"/>
                <w:color w:val="auto"/>
              </w:rPr>
              <w:t>_______%</w:t>
            </w:r>
          </w:p>
        </w:tc>
        <w:tc>
          <w:tcPr>
            <w:tcW w:w="0" w:type="dxa"/>
            <w:vAlign w:val="bottom"/>
          </w:tcPr>
          <w:p>
            <w:pPr>
              <w:spacing w:after="0"/>
              <w:rPr>
                <w:sz w:val="1"/>
                <w:szCs w:val="1"/>
                <w:color w:val="auto"/>
              </w:rPr>
            </w:pPr>
          </w:p>
        </w:tc>
      </w:tr>
      <w:tr>
        <w:trPr>
          <w:trHeight w:val="635"/>
        </w:trPr>
        <w:tc>
          <w:tcPr>
            <w:tcW w:w="6520" w:type="dxa"/>
            <w:vAlign w:val="bottom"/>
          </w:tcPr>
          <w:p>
            <w:pPr>
              <w:spacing w:after="0"/>
              <w:rPr>
                <w:sz w:val="20"/>
                <w:szCs w:val="20"/>
                <w:color w:val="auto"/>
              </w:rPr>
            </w:pPr>
            <w:r>
              <w:rPr>
                <w:rFonts w:ascii="Arial" w:cs="Arial" w:eastAsia="Arial" w:hAnsi="Arial"/>
                <w:sz w:val="20"/>
                <w:szCs w:val="20"/>
                <w:color w:val="auto"/>
              </w:rPr>
              <w:t>Maximum Permitted Consolidated Total Leverage Ratio:</w:t>
            </w:r>
          </w:p>
        </w:tc>
        <w:tc>
          <w:tcPr>
            <w:tcW w:w="1680" w:type="dxa"/>
            <w:vAlign w:val="bottom"/>
            <w:vMerge w:val="restart"/>
          </w:tcPr>
          <w:p>
            <w:pPr>
              <w:jc w:val="right"/>
              <w:ind w:right="61"/>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108"/>
        </w:trPr>
        <w:tc>
          <w:tcPr>
            <w:tcW w:w="652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79"/>
          </w:cols>
          <w:pgMar w:left="280" w:top="960" w:right="1440" w:bottom="1440" w:gutter="0" w:footer="0" w:header="0"/>
        </w:sectPr>
      </w:pP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- 3 -</w:t>
      </w:r>
    </w:p>
    <w:p>
      <w:pPr>
        <w:sectPr>
          <w:pgSz w:w="11900" w:h="16838" w:orient="portrait"/>
          <w:cols w:equalWidth="0" w:num="1">
            <w:col w:w="10179"/>
          </w:cols>
          <w:pgMar w:left="280" w:top="960" w:right="1440" w:bottom="1440" w:gutter="0" w:footer="0" w:header="0"/>
          <w:type w:val="continuous"/>
        </w:sectPr>
      </w:pPr>
    </w:p>
    <w:bookmarkStart w:id="248" w:name="page249"/>
    <w:bookmarkEnd w:id="248"/>
    <w:p>
      <w:pPr>
        <w:spacing w:after="0"/>
        <w:rPr>
          <w:sz w:val="20"/>
          <w:szCs w:val="20"/>
          <w:color w:val="auto"/>
        </w:rPr>
      </w:pPr>
      <w:r>
        <w:rPr>
          <w:rFonts w:ascii="Arial" w:cs="Arial" w:eastAsia="Arial" w:hAnsi="Arial"/>
          <w:sz w:val="20"/>
          <w:szCs w:val="20"/>
          <w:color w:val="auto"/>
        </w:rPr>
        <w:t>IV. SECTION 10.9(d) – CONSOLIDATED FIXED CHARGE COVERAGE RATIO</w:t>
      </w:r>
    </w:p>
    <w:p>
      <w:pPr>
        <w:spacing w:after="0" w:line="297" w:lineRule="exact"/>
        <w:rPr>
          <w:sz w:val="20"/>
          <w:szCs w:val="20"/>
          <w:color w:val="auto"/>
        </w:rPr>
      </w:pPr>
    </w:p>
    <w:p>
      <w:pPr>
        <w:ind w:left="1840" w:right="1439" w:hanging="927"/>
        <w:spacing w:after="0" w:line="260" w:lineRule="auto"/>
        <w:tabs>
          <w:tab w:leader="none" w:pos="18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Consolidated EBITDA for the four consecutive fiscal quarters of the REIT ending on Statement Date (“4 Quarter Subject Period”):</w:t>
      </w:r>
    </w:p>
    <w:p>
      <w:pPr>
        <w:spacing w:after="0" w:line="393" w:lineRule="exact"/>
        <w:rPr>
          <w:rFonts w:ascii="Arial" w:cs="Arial" w:eastAsia="Arial" w:hAnsi="Arial"/>
          <w:sz w:val="20"/>
          <w:szCs w:val="20"/>
          <w:color w:val="auto"/>
        </w:rPr>
      </w:pPr>
    </w:p>
    <w:p>
      <w:pPr>
        <w:ind w:left="2020" w:hanging="202"/>
        <w:spacing w:after="0"/>
        <w:tabs>
          <w:tab w:leader="none" w:pos="202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Consolidated Net Income for 4 Quarter Subject Period:</w:t>
      </w:r>
    </w:p>
    <w:p>
      <w:pPr>
        <w:spacing w:after="0" w:line="323" w:lineRule="exact"/>
        <w:rPr>
          <w:sz w:val="20"/>
          <w:szCs w:val="20"/>
          <w:color w:val="auto"/>
        </w:rPr>
      </w:pPr>
    </w:p>
    <w:tbl>
      <w:tblPr>
        <w:tblLayout w:type="fixed"/>
        <w:tblInd w:w="1820" w:type="dxa"/>
        <w:tblCellMar>
          <w:top w:w="0" w:type="dxa"/>
          <w:left w:w="0" w:type="dxa"/>
          <w:bottom w:w="0" w:type="dxa"/>
          <w:right w:w="0" w:type="dxa"/>
        </w:tblCellMar>
      </w:tblPr>
      <w:tr>
        <w:trPr>
          <w:trHeight w:val="230"/>
        </w:trPr>
        <w:tc>
          <w:tcPr>
            <w:tcW w:w="6940" w:type="dxa"/>
            <w:vAlign w:val="bottom"/>
          </w:tcPr>
          <w:p>
            <w:pPr>
              <w:ind w:left="380"/>
              <w:spacing w:after="0"/>
              <w:rPr>
                <w:sz w:val="20"/>
                <w:szCs w:val="20"/>
                <w:color w:val="auto"/>
              </w:rPr>
            </w:pPr>
            <w:r>
              <w:rPr>
                <w:rFonts w:ascii="Arial" w:cs="Arial" w:eastAsia="Arial" w:hAnsi="Arial"/>
                <w:sz w:val="20"/>
                <w:szCs w:val="20"/>
                <w:color w:val="auto"/>
                <w:w w:val="90"/>
              </w:rPr>
              <w:t>a. The net income (or loss) of the Consolidated Group (including the Consolidated</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780"/>
              <w:spacing w:after="0"/>
              <w:rPr>
                <w:sz w:val="20"/>
                <w:szCs w:val="20"/>
                <w:color w:val="auto"/>
              </w:rPr>
            </w:pPr>
            <w:r>
              <w:rPr>
                <w:rFonts w:ascii="Arial" w:cs="Arial" w:eastAsia="Arial" w:hAnsi="Arial"/>
                <w:sz w:val="20"/>
                <w:szCs w:val="20"/>
                <w:color w:val="auto"/>
                <w:w w:val="94"/>
              </w:rPr>
              <w:t>Group Pro Rata Share of the net income (or loss) of each Unconsolidated</w:t>
            </w: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w w:val="89"/>
              </w:rPr>
              <w:t>$___________</w:t>
            </w:r>
          </w:p>
        </w:tc>
        <w:tc>
          <w:tcPr>
            <w:tcW w:w="0" w:type="dxa"/>
            <w:vAlign w:val="bottom"/>
          </w:tcPr>
          <w:p>
            <w:pPr>
              <w:spacing w:after="0"/>
              <w:rPr>
                <w:sz w:val="1"/>
                <w:szCs w:val="1"/>
                <w:color w:val="auto"/>
              </w:rPr>
            </w:pPr>
          </w:p>
        </w:tc>
      </w:tr>
      <w:tr>
        <w:trPr>
          <w:trHeight w:val="250"/>
        </w:trPr>
        <w:tc>
          <w:tcPr>
            <w:tcW w:w="6940" w:type="dxa"/>
            <w:vAlign w:val="bottom"/>
          </w:tcPr>
          <w:p>
            <w:pPr>
              <w:ind w:left="780"/>
              <w:spacing w:after="0"/>
              <w:rPr>
                <w:sz w:val="20"/>
                <w:szCs w:val="20"/>
                <w:color w:val="auto"/>
              </w:rPr>
            </w:pPr>
            <w:r>
              <w:rPr>
                <w:rFonts w:ascii="Arial" w:cs="Arial" w:eastAsia="Arial" w:hAnsi="Arial"/>
                <w:sz w:val="20"/>
                <w:szCs w:val="20"/>
                <w:color w:val="auto"/>
                <w:w w:val="92"/>
              </w:rPr>
              <w:t>Affiliate), computed in accordance with GAAP for 4 Quarter Subject Period:</w:t>
            </w: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6940" w:type="dxa"/>
            <w:vAlign w:val="bottom"/>
          </w:tcPr>
          <w:p>
            <w:pPr>
              <w:jc w:val="right"/>
              <w:spacing w:after="0" w:line="230" w:lineRule="exact"/>
              <w:rPr>
                <w:sz w:val="20"/>
                <w:szCs w:val="20"/>
                <w:color w:val="auto"/>
              </w:rPr>
            </w:pPr>
            <w:r>
              <w:rPr>
                <w:rFonts w:ascii="Arial" w:cs="Arial" w:eastAsia="Arial" w:hAnsi="Arial"/>
                <w:sz w:val="20"/>
                <w:szCs w:val="20"/>
                <w:color w:val="auto"/>
              </w:rPr>
              <w:t>b. Any extraordinary or non</w:t>
            </w:r>
            <w:r>
              <w:rPr>
                <w:rFonts w:ascii="MS PGothic" w:cs="MS PGothic" w:eastAsia="MS PGothic" w:hAnsi="MS PGothic"/>
                <w:sz w:val="20"/>
                <w:szCs w:val="20"/>
                <w:color w:val="auto"/>
              </w:rPr>
              <w:t>‑</w:t>
            </w:r>
            <w:r>
              <w:rPr>
                <w:rFonts w:ascii="Arial" w:cs="Arial" w:eastAsia="Arial" w:hAnsi="Arial"/>
                <w:sz w:val="20"/>
                <w:szCs w:val="20"/>
                <w:color w:val="auto"/>
              </w:rPr>
              <w:t>recurring gain realized during 4 Quarter Subject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rPr>
              <w:t>Period by any member of Consolidated Group (including Consolidated</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6940" w:type="dxa"/>
            <w:vAlign w:val="bottom"/>
          </w:tcPr>
          <w:p>
            <w:pPr>
              <w:jc w:val="right"/>
              <w:spacing w:after="0" w:line="230" w:lineRule="exact"/>
              <w:rPr>
                <w:sz w:val="20"/>
                <w:szCs w:val="20"/>
                <w:color w:val="auto"/>
              </w:rPr>
            </w:pPr>
            <w:r>
              <w:rPr>
                <w:rFonts w:ascii="Arial" w:cs="Arial" w:eastAsia="Arial" w:hAnsi="Arial"/>
                <w:sz w:val="20"/>
                <w:szCs w:val="20"/>
                <w:color w:val="auto"/>
              </w:rPr>
              <w:t>Group Pro Rata Share of any extraordinary or non</w:t>
            </w:r>
            <w:r>
              <w:rPr>
                <w:rFonts w:ascii="MS PGothic" w:cs="MS PGothic" w:eastAsia="MS PGothic" w:hAnsi="MS PGothic"/>
                <w:sz w:val="20"/>
                <w:szCs w:val="20"/>
                <w:color w:val="auto"/>
              </w:rPr>
              <w:t>‑</w:t>
            </w:r>
            <w:r>
              <w:rPr>
                <w:rFonts w:ascii="Arial" w:cs="Arial" w:eastAsia="Arial" w:hAnsi="Arial"/>
                <w:sz w:val="20"/>
                <w:szCs w:val="20"/>
                <w:color w:val="auto"/>
              </w:rPr>
              <w:t>recurring gain realized</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c>
          <w:tcPr>
            <w:tcW w:w="0" w:type="dxa"/>
            <w:vAlign w:val="bottom"/>
          </w:tcPr>
          <w:p>
            <w:pPr>
              <w:spacing w:after="0"/>
              <w:rPr>
                <w:sz w:val="1"/>
                <w:szCs w:val="1"/>
                <w:color w:val="auto"/>
              </w:rPr>
            </w:pPr>
          </w:p>
        </w:tc>
      </w:tr>
      <w:tr>
        <w:trPr>
          <w:trHeight w:val="250"/>
        </w:trPr>
        <w:tc>
          <w:tcPr>
            <w:tcW w:w="6940" w:type="dxa"/>
            <w:vAlign w:val="bottom"/>
          </w:tcPr>
          <w:p>
            <w:pPr>
              <w:ind w:left="780"/>
              <w:spacing w:after="0"/>
              <w:rPr>
                <w:sz w:val="20"/>
                <w:szCs w:val="20"/>
                <w:color w:val="auto"/>
              </w:rPr>
            </w:pPr>
            <w:r>
              <w:rPr>
                <w:rFonts w:ascii="Arial" w:cs="Arial" w:eastAsia="Arial" w:hAnsi="Arial"/>
                <w:sz w:val="20"/>
                <w:szCs w:val="20"/>
                <w:color w:val="auto"/>
              </w:rPr>
              <w:t>during 4 Quarter Subject Period by any Unconsolidated Affiliate):</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9"/>
        </w:trPr>
        <w:tc>
          <w:tcPr>
            <w:tcW w:w="6940" w:type="dxa"/>
            <w:vAlign w:val="bottom"/>
          </w:tcPr>
          <w:p>
            <w:pPr>
              <w:jc w:val="right"/>
              <w:spacing w:after="0" w:line="230" w:lineRule="exact"/>
              <w:rPr>
                <w:sz w:val="20"/>
                <w:szCs w:val="20"/>
                <w:color w:val="auto"/>
              </w:rPr>
            </w:pPr>
            <w:r>
              <w:rPr>
                <w:rFonts w:ascii="Arial" w:cs="Arial" w:eastAsia="Arial" w:hAnsi="Arial"/>
                <w:sz w:val="20"/>
                <w:szCs w:val="20"/>
                <w:color w:val="auto"/>
              </w:rPr>
              <w:t>c. Any extraordinary or non</w:t>
            </w:r>
            <w:r>
              <w:rPr>
                <w:rFonts w:ascii="MS PGothic" w:cs="MS PGothic" w:eastAsia="MS PGothic" w:hAnsi="MS PGothic"/>
                <w:sz w:val="20"/>
                <w:szCs w:val="20"/>
                <w:color w:val="auto"/>
              </w:rPr>
              <w:t>‑</w:t>
            </w:r>
            <w:r>
              <w:rPr>
                <w:rFonts w:ascii="Arial" w:cs="Arial" w:eastAsia="Arial" w:hAnsi="Arial"/>
                <w:sz w:val="20"/>
                <w:szCs w:val="20"/>
                <w:color w:val="auto"/>
              </w:rPr>
              <w:t>recurring loss realized during 4 Quarter Subject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rPr>
              <w:t>Period by any member of Consolidated Group (including Consolidated</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6940" w:type="dxa"/>
            <w:vAlign w:val="bottom"/>
          </w:tcPr>
          <w:p>
            <w:pPr>
              <w:jc w:val="right"/>
              <w:spacing w:after="0" w:line="230" w:lineRule="exact"/>
              <w:rPr>
                <w:sz w:val="20"/>
                <w:szCs w:val="20"/>
                <w:color w:val="auto"/>
              </w:rPr>
            </w:pPr>
            <w:r>
              <w:rPr>
                <w:rFonts w:ascii="Arial" w:cs="Arial" w:eastAsia="Arial" w:hAnsi="Arial"/>
                <w:sz w:val="20"/>
                <w:szCs w:val="20"/>
                <w:color w:val="auto"/>
              </w:rPr>
              <w:t>Group Pro Rata Share of any extraordinary or non</w:t>
            </w:r>
            <w:r>
              <w:rPr>
                <w:rFonts w:ascii="MS PGothic" w:cs="MS PGothic" w:eastAsia="MS PGothic" w:hAnsi="MS PGothic"/>
                <w:sz w:val="20"/>
                <w:szCs w:val="20"/>
                <w:color w:val="auto"/>
              </w:rPr>
              <w:t>‑</w:t>
            </w:r>
            <w:r>
              <w:rPr>
                <w:rFonts w:ascii="Arial" w:cs="Arial" w:eastAsia="Arial" w:hAnsi="Arial"/>
                <w:sz w:val="20"/>
                <w:szCs w:val="20"/>
                <w:color w:val="auto"/>
              </w:rPr>
              <w:t>recurring loss realized</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c>
          <w:tcPr>
            <w:tcW w:w="0" w:type="dxa"/>
            <w:vAlign w:val="bottom"/>
          </w:tcPr>
          <w:p>
            <w:pPr>
              <w:spacing w:after="0"/>
              <w:rPr>
                <w:sz w:val="1"/>
                <w:szCs w:val="1"/>
                <w:color w:val="auto"/>
              </w:rPr>
            </w:pPr>
          </w:p>
        </w:tc>
      </w:tr>
      <w:tr>
        <w:trPr>
          <w:trHeight w:val="250"/>
        </w:trPr>
        <w:tc>
          <w:tcPr>
            <w:tcW w:w="6940" w:type="dxa"/>
            <w:vAlign w:val="bottom"/>
          </w:tcPr>
          <w:p>
            <w:pPr>
              <w:ind w:left="780"/>
              <w:spacing w:after="0"/>
              <w:rPr>
                <w:sz w:val="20"/>
                <w:szCs w:val="20"/>
                <w:color w:val="auto"/>
              </w:rPr>
            </w:pPr>
            <w:r>
              <w:rPr>
                <w:rFonts w:ascii="Arial" w:cs="Arial" w:eastAsia="Arial" w:hAnsi="Arial"/>
                <w:sz w:val="20"/>
                <w:szCs w:val="20"/>
                <w:color w:val="auto"/>
              </w:rPr>
              <w:t>during 4 Quarter Subject Period by any Unconsolidated Affiliate):</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9"/>
        </w:trPr>
        <w:tc>
          <w:tcPr>
            <w:tcW w:w="6940" w:type="dxa"/>
            <w:vAlign w:val="bottom"/>
          </w:tcPr>
          <w:p>
            <w:pPr>
              <w:ind w:left="380"/>
              <w:spacing w:after="0"/>
              <w:rPr>
                <w:sz w:val="20"/>
                <w:szCs w:val="20"/>
                <w:color w:val="auto"/>
              </w:rPr>
            </w:pPr>
            <w:r>
              <w:rPr>
                <w:rFonts w:ascii="Arial" w:cs="Arial" w:eastAsia="Arial" w:hAnsi="Arial"/>
                <w:sz w:val="20"/>
                <w:szCs w:val="20"/>
                <w:color w:val="auto"/>
                <w:w w:val="97"/>
              </w:rPr>
              <w:t>d. Consolidated Net Income (Line IV.A.1.a. - Line IV.A.1.b. + Line IV.A.1.c.):</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c>
          <w:tcPr>
            <w:tcW w:w="0" w:type="dxa"/>
            <w:vAlign w:val="bottom"/>
          </w:tcPr>
          <w:p>
            <w:pPr>
              <w:spacing w:after="0"/>
              <w:rPr>
                <w:sz w:val="1"/>
                <w:szCs w:val="1"/>
                <w:color w:val="auto"/>
              </w:rPr>
            </w:pPr>
          </w:p>
        </w:tc>
      </w:tr>
      <w:tr>
        <w:trPr>
          <w:trHeight w:val="614"/>
        </w:trPr>
        <w:tc>
          <w:tcPr>
            <w:tcW w:w="6940" w:type="dxa"/>
            <w:vAlign w:val="bottom"/>
          </w:tcPr>
          <w:p>
            <w:pPr>
              <w:jc w:val="right"/>
              <w:spacing w:after="0"/>
              <w:rPr>
                <w:sz w:val="20"/>
                <w:szCs w:val="20"/>
                <w:color w:val="auto"/>
              </w:rPr>
            </w:pPr>
            <w:r>
              <w:rPr>
                <w:rFonts w:ascii="Arial" w:cs="Arial" w:eastAsia="Arial" w:hAnsi="Arial"/>
                <w:sz w:val="20"/>
                <w:szCs w:val="20"/>
                <w:color w:val="auto"/>
                <w:w w:val="97"/>
              </w:rPr>
              <w:t>2. Total cash interest expense (including, for the avoidance of doubt, capitalized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w w:val="96"/>
              </w:rPr>
              <w:t>interest) of the Consolidated Group for 4 Quarter Subject Period determined on a</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w w:val="97"/>
              </w:rPr>
              <w:t>consolidated basis in accordance with GAAP (including the Consolidated Group</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rPr>
              <w:t>Pro Rata Share of total cash interest expense (including, for the avoidance of</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rPr>
              <w:t>doubt, capitalized interest) of each Unconsolidated Affiliated for 4 Quarter</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rPr>
              <w:t>Subject Period determined in accordance with GAAP) (plus, to the extent not</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6940" w:type="dxa"/>
            <w:vAlign w:val="bottom"/>
          </w:tcPr>
          <w:p>
            <w:pPr>
              <w:jc w:val="right"/>
              <w:spacing w:after="0"/>
              <w:rPr>
                <w:sz w:val="20"/>
                <w:szCs w:val="20"/>
                <w:color w:val="auto"/>
              </w:rPr>
            </w:pPr>
            <w:r>
              <w:rPr>
                <w:rFonts w:ascii="Arial" w:cs="Arial" w:eastAsia="Arial" w:hAnsi="Arial"/>
                <w:sz w:val="20"/>
                <w:szCs w:val="20"/>
                <w:color w:val="auto"/>
              </w:rPr>
              <w:t>already included in such total cash interest expense, amortization of deferred</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c>
          <w:tcPr>
            <w:tcW w:w="0" w:type="dxa"/>
            <w:vAlign w:val="bottom"/>
          </w:tcPr>
          <w:p>
            <w:pPr>
              <w:spacing w:after="0"/>
              <w:rPr>
                <w:sz w:val="1"/>
                <w:szCs w:val="1"/>
                <w:color w:val="auto"/>
              </w:rPr>
            </w:pPr>
          </w:p>
        </w:tc>
      </w:tr>
      <w:tr>
        <w:trPr>
          <w:trHeight w:val="250"/>
        </w:trPr>
        <w:tc>
          <w:tcPr>
            <w:tcW w:w="6940" w:type="dxa"/>
            <w:vAlign w:val="bottom"/>
          </w:tcPr>
          <w:p>
            <w:pPr>
              <w:ind w:left="400"/>
              <w:spacing w:after="0"/>
              <w:rPr>
                <w:sz w:val="20"/>
                <w:szCs w:val="20"/>
                <w:color w:val="auto"/>
              </w:rPr>
            </w:pPr>
            <w:r>
              <w:rPr>
                <w:rFonts w:ascii="Arial" w:cs="Arial" w:eastAsia="Arial" w:hAnsi="Arial"/>
                <w:sz w:val="20"/>
                <w:szCs w:val="20"/>
                <w:color w:val="auto"/>
              </w:rPr>
              <w:t>financing costs):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9"/>
        </w:trPr>
        <w:tc>
          <w:tcPr>
            <w:tcW w:w="6940" w:type="dxa"/>
            <w:vAlign w:val="bottom"/>
          </w:tcPr>
          <w:p>
            <w:pPr>
              <w:jc w:val="right"/>
              <w:spacing w:after="0"/>
              <w:rPr>
                <w:sz w:val="20"/>
                <w:szCs w:val="20"/>
                <w:color w:val="auto"/>
              </w:rPr>
            </w:pPr>
            <w:r>
              <w:rPr>
                <w:rFonts w:ascii="Arial" w:cs="Arial" w:eastAsia="Arial" w:hAnsi="Arial"/>
                <w:sz w:val="20"/>
                <w:szCs w:val="20"/>
                <w:color w:val="auto"/>
                <w:w w:val="96"/>
              </w:rPr>
              <w:t>3. Provision for federal, state, local and foreign income taxes of the Consolidated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rPr>
              <w:t>Group (including the Consolidated Group Pro Rata Share of the provision for</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6940" w:type="dxa"/>
            <w:vAlign w:val="bottom"/>
          </w:tcPr>
          <w:p>
            <w:pPr>
              <w:jc w:val="right"/>
              <w:spacing w:after="0"/>
              <w:rPr>
                <w:sz w:val="20"/>
                <w:szCs w:val="20"/>
                <w:color w:val="auto"/>
              </w:rPr>
            </w:pPr>
            <w:r>
              <w:rPr>
                <w:rFonts w:ascii="Arial" w:cs="Arial" w:eastAsia="Arial" w:hAnsi="Arial"/>
                <w:sz w:val="20"/>
                <w:szCs w:val="20"/>
                <w:color w:val="auto"/>
                <w:w w:val="99"/>
              </w:rPr>
              <w:t>federal, state, local and foreign income taxes of each Unconsolidated Affiliate)</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c>
          <w:tcPr>
            <w:tcW w:w="0" w:type="dxa"/>
            <w:vAlign w:val="bottom"/>
          </w:tcPr>
          <w:p>
            <w:pPr>
              <w:spacing w:after="0"/>
              <w:rPr>
                <w:sz w:val="1"/>
                <w:szCs w:val="1"/>
                <w:color w:val="auto"/>
              </w:rPr>
            </w:pPr>
          </w:p>
        </w:tc>
      </w:tr>
      <w:tr>
        <w:trPr>
          <w:trHeight w:val="250"/>
        </w:trPr>
        <w:tc>
          <w:tcPr>
            <w:tcW w:w="6940" w:type="dxa"/>
            <w:vAlign w:val="bottom"/>
          </w:tcPr>
          <w:p>
            <w:pPr>
              <w:ind w:left="400"/>
              <w:spacing w:after="0"/>
              <w:rPr>
                <w:sz w:val="20"/>
                <w:szCs w:val="20"/>
                <w:color w:val="auto"/>
              </w:rPr>
            </w:pPr>
            <w:r>
              <w:rPr>
                <w:rFonts w:ascii="Arial" w:cs="Arial" w:eastAsia="Arial" w:hAnsi="Arial"/>
                <w:sz w:val="20"/>
                <w:szCs w:val="20"/>
                <w:color w:val="auto"/>
              </w:rPr>
              <w:t>for 4 Quarter Subject Period:</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0179"/>
          </w:cols>
          <w:pgMar w:left="280" w:top="960" w:right="1440"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20"/>
                <w:szCs w:val="20"/>
                <w:color w:val="auto"/>
                <w:w w:val="94"/>
              </w:rPr>
              <w:t>4. Non-cash  charges  of  the  Consolidated  Group  for  4  Quarter  Subject  Period</w:t>
            </w:r>
          </w:p>
        </w:tc>
        <w:tc>
          <w:tcPr>
            <w:tcW w:w="1220" w:type="dxa"/>
            <w:vAlign w:val="bottom"/>
          </w:tcPr>
          <w:p>
            <w:pPr>
              <w:spacing w:after="0"/>
              <w:rPr>
                <w:sz w:val="19"/>
                <w:szCs w:val="19"/>
                <w:color w:val="auto"/>
              </w:rPr>
            </w:pPr>
          </w:p>
        </w:tc>
      </w:tr>
      <w:tr>
        <w:trPr>
          <w:trHeight w:val="314"/>
        </w:trPr>
        <w:tc>
          <w:tcPr>
            <w:tcW w:w="540" w:type="dxa"/>
            <w:vAlign w:val="bottom"/>
          </w:tcPr>
          <w:p>
            <w:pPr>
              <w:spacing w:after="0"/>
              <w:rPr>
                <w:sz w:val="24"/>
                <w:szCs w:val="24"/>
                <w:color w:val="auto"/>
              </w:rPr>
            </w:pPr>
          </w:p>
        </w:tc>
        <w:tc>
          <w:tcPr>
            <w:tcW w:w="7300" w:type="dxa"/>
            <w:vAlign w:val="bottom"/>
          </w:tcPr>
          <w:p>
            <w:pPr>
              <w:ind w:left="760"/>
              <w:spacing w:after="0" w:line="230" w:lineRule="exact"/>
              <w:rPr>
                <w:sz w:val="20"/>
                <w:szCs w:val="20"/>
                <w:color w:val="auto"/>
              </w:rPr>
            </w:pPr>
            <w:r>
              <w:rPr>
                <w:rFonts w:ascii="Arial" w:cs="Arial" w:eastAsia="Arial" w:hAnsi="Arial"/>
                <w:sz w:val="20"/>
                <w:szCs w:val="20"/>
                <w:color w:val="auto"/>
                <w:w w:val="91"/>
              </w:rPr>
              <w:t>(excluding any non</w:t>
            </w:r>
            <w:r>
              <w:rPr>
                <w:rFonts w:ascii="MS PGothic" w:cs="MS PGothic" w:eastAsia="MS PGothic" w:hAnsi="MS PGothic"/>
                <w:sz w:val="20"/>
                <w:szCs w:val="20"/>
                <w:color w:val="auto"/>
                <w:w w:val="91"/>
              </w:rPr>
              <w:t>‑</w:t>
            </w:r>
            <w:r>
              <w:rPr>
                <w:rFonts w:ascii="Arial" w:cs="Arial" w:eastAsia="Arial" w:hAnsi="Arial"/>
                <w:sz w:val="20"/>
                <w:szCs w:val="20"/>
                <w:color w:val="auto"/>
                <w:w w:val="91"/>
              </w:rPr>
              <w:t>cash charge that results in an accrual of a reserve for a cash</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540" w:type="dxa"/>
            <w:vAlign w:val="bottom"/>
          </w:tcPr>
          <w:p>
            <w:pPr>
              <w:spacing w:after="0"/>
              <w:rPr>
                <w:sz w:val="21"/>
                <w:szCs w:val="21"/>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charge in any future period):</w:t>
            </w:r>
          </w:p>
        </w:tc>
        <w:tc>
          <w:tcPr>
            <w:tcW w:w="1220" w:type="dxa"/>
            <w:vAlign w:val="bottom"/>
          </w:tcPr>
          <w:p>
            <w:pPr>
              <w:spacing w:after="0"/>
              <w:rPr>
                <w:sz w:val="21"/>
                <w:szCs w:val="21"/>
                <w:color w:val="auto"/>
              </w:rPr>
            </w:pPr>
          </w:p>
        </w:tc>
      </w:tr>
      <w:tr>
        <w:trPr>
          <w:trHeight w:val="449"/>
        </w:trPr>
        <w:tc>
          <w:tcPr>
            <w:tcW w:w="540" w:type="dxa"/>
            <w:vAlign w:val="bottom"/>
          </w:tcPr>
          <w:p>
            <w:pPr>
              <w:spacing w:after="0"/>
              <w:rPr>
                <w:sz w:val="24"/>
                <w:szCs w:val="24"/>
                <w:color w:val="auto"/>
              </w:rPr>
            </w:pPr>
          </w:p>
        </w:tc>
        <w:tc>
          <w:tcPr>
            <w:tcW w:w="7300" w:type="dxa"/>
            <w:vAlign w:val="bottom"/>
          </w:tcPr>
          <w:p>
            <w:pPr>
              <w:ind w:left="360"/>
              <w:spacing w:after="0" w:line="230" w:lineRule="exact"/>
              <w:rPr>
                <w:sz w:val="20"/>
                <w:szCs w:val="20"/>
                <w:color w:val="auto"/>
              </w:rPr>
            </w:pPr>
            <w:r>
              <w:rPr>
                <w:rFonts w:ascii="Arial" w:cs="Arial" w:eastAsia="Arial" w:hAnsi="Arial"/>
                <w:sz w:val="20"/>
                <w:szCs w:val="20"/>
                <w:color w:val="auto"/>
                <w:w w:val="99"/>
              </w:rPr>
              <w:t>5. Consolidated Group Pro Rata Share of non</w:t>
            </w:r>
            <w:r>
              <w:rPr>
                <w:rFonts w:ascii="MS PGothic" w:cs="MS PGothic" w:eastAsia="MS PGothic" w:hAnsi="MS PGothic"/>
                <w:sz w:val="20"/>
                <w:szCs w:val="20"/>
                <w:color w:val="auto"/>
                <w:w w:val="99"/>
              </w:rPr>
              <w:t>‑</w:t>
            </w:r>
            <w:r>
              <w:rPr>
                <w:rFonts w:ascii="Arial" w:cs="Arial" w:eastAsia="Arial" w:hAnsi="Arial"/>
                <w:sz w:val="20"/>
                <w:szCs w:val="20"/>
                <w:color w:val="auto"/>
                <w:w w:val="99"/>
              </w:rPr>
              <w:t>cash charges of Unconsolidated</w:t>
            </w:r>
          </w:p>
        </w:tc>
        <w:tc>
          <w:tcPr>
            <w:tcW w:w="1220" w:type="dxa"/>
            <w:vAlign w:val="bottom"/>
          </w:tcPr>
          <w:p>
            <w:pPr>
              <w:spacing w:after="0"/>
              <w:rPr>
                <w:sz w:val="24"/>
                <w:szCs w:val="24"/>
                <w:color w:val="auto"/>
              </w:rPr>
            </w:pPr>
          </w:p>
        </w:tc>
      </w:tr>
      <w:tr>
        <w:trPr>
          <w:trHeight w:val="314"/>
        </w:trPr>
        <w:tc>
          <w:tcPr>
            <w:tcW w:w="540" w:type="dxa"/>
            <w:vAlign w:val="bottom"/>
          </w:tcPr>
          <w:p>
            <w:pPr>
              <w:spacing w:after="0"/>
              <w:rPr>
                <w:sz w:val="24"/>
                <w:szCs w:val="24"/>
                <w:color w:val="auto"/>
              </w:rPr>
            </w:pPr>
          </w:p>
        </w:tc>
        <w:tc>
          <w:tcPr>
            <w:tcW w:w="7300" w:type="dxa"/>
            <w:vAlign w:val="bottom"/>
          </w:tcPr>
          <w:p>
            <w:pPr>
              <w:ind w:left="760"/>
              <w:spacing w:after="0" w:line="230" w:lineRule="exact"/>
              <w:rPr>
                <w:sz w:val="20"/>
                <w:szCs w:val="20"/>
                <w:color w:val="auto"/>
              </w:rPr>
            </w:pPr>
            <w:r>
              <w:rPr>
                <w:rFonts w:ascii="Arial" w:cs="Arial" w:eastAsia="Arial" w:hAnsi="Arial"/>
                <w:sz w:val="20"/>
                <w:szCs w:val="20"/>
                <w:color w:val="auto"/>
                <w:w w:val="99"/>
              </w:rPr>
              <w:t>Affiliates for 4 Quarter Subject Period (excluding any non</w:t>
            </w:r>
            <w:r>
              <w:rPr>
                <w:rFonts w:ascii="MS PGothic" w:cs="MS PGothic" w:eastAsia="MS PGothic" w:hAnsi="MS PGothic"/>
                <w:sz w:val="20"/>
                <w:szCs w:val="20"/>
                <w:color w:val="auto"/>
                <w:w w:val="99"/>
              </w:rPr>
              <w:t>‑</w:t>
            </w:r>
            <w:r>
              <w:rPr>
                <w:rFonts w:ascii="Arial" w:cs="Arial" w:eastAsia="Arial" w:hAnsi="Arial"/>
                <w:sz w:val="20"/>
                <w:szCs w:val="20"/>
                <w:color w:val="auto"/>
                <w:w w:val="99"/>
              </w:rPr>
              <w:t>cash charge that</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540" w:type="dxa"/>
            <w:vAlign w:val="bottom"/>
          </w:tcPr>
          <w:p>
            <w:pPr>
              <w:spacing w:after="0"/>
              <w:rPr>
                <w:sz w:val="21"/>
                <w:szCs w:val="21"/>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results in an accrual of a reserve for a cash charge in any future period):</w:t>
            </w:r>
          </w:p>
        </w:tc>
        <w:tc>
          <w:tcPr>
            <w:tcW w:w="1220" w:type="dxa"/>
            <w:vAlign w:val="bottom"/>
          </w:tcPr>
          <w:p>
            <w:pPr>
              <w:spacing w:after="0"/>
              <w:rPr>
                <w:sz w:val="21"/>
                <w:szCs w:val="21"/>
                <w:color w:val="auto"/>
              </w:rPr>
            </w:pPr>
          </w:p>
        </w:tc>
      </w:tr>
      <w:tr>
        <w:trPr>
          <w:trHeight w:val="449"/>
        </w:trPr>
        <w:tc>
          <w:tcPr>
            <w:tcW w:w="540" w:type="dxa"/>
            <w:vAlign w:val="bottom"/>
          </w:tcPr>
          <w:p>
            <w:pPr>
              <w:spacing w:after="0"/>
              <w:rPr>
                <w:sz w:val="24"/>
                <w:szCs w:val="24"/>
                <w:color w:val="auto"/>
              </w:rPr>
            </w:pPr>
          </w:p>
        </w:tc>
        <w:tc>
          <w:tcPr>
            <w:tcW w:w="7300" w:type="dxa"/>
            <w:vAlign w:val="bottom"/>
          </w:tcPr>
          <w:p>
            <w:pPr>
              <w:ind w:left="360"/>
              <w:spacing w:after="0"/>
              <w:rPr>
                <w:sz w:val="20"/>
                <w:szCs w:val="20"/>
                <w:color w:val="auto"/>
              </w:rPr>
            </w:pPr>
            <w:r>
              <w:rPr>
                <w:rFonts w:ascii="Arial" w:cs="Arial" w:eastAsia="Arial" w:hAnsi="Arial"/>
                <w:sz w:val="20"/>
                <w:szCs w:val="20"/>
                <w:color w:val="auto"/>
                <w:w w:val="94"/>
              </w:rPr>
              <w:t>6. Acquisition closing costs of the Consolidated Group that were capitalized prior to</w:t>
            </w:r>
          </w:p>
        </w:tc>
        <w:tc>
          <w:tcPr>
            <w:tcW w:w="1220" w:type="dxa"/>
            <w:vAlign w:val="bottom"/>
          </w:tcPr>
          <w:p>
            <w:pPr>
              <w:spacing w:after="0"/>
              <w:rPr>
                <w:sz w:val="24"/>
                <w:szCs w:val="24"/>
                <w:color w:val="auto"/>
              </w:rPr>
            </w:pPr>
          </w:p>
        </w:tc>
      </w:tr>
      <w:tr>
        <w:trPr>
          <w:trHeight w:val="230"/>
        </w:trPr>
        <w:tc>
          <w:tcPr>
            <w:tcW w:w="540" w:type="dxa"/>
            <w:vAlign w:val="bottom"/>
          </w:tcPr>
          <w:p>
            <w:pPr>
              <w:spacing w:after="0"/>
              <w:rPr>
                <w:sz w:val="19"/>
                <w:szCs w:val="19"/>
                <w:color w:val="auto"/>
              </w:rPr>
            </w:pPr>
          </w:p>
        </w:tc>
        <w:tc>
          <w:tcPr>
            <w:tcW w:w="7300" w:type="dxa"/>
            <w:vAlign w:val="bottom"/>
          </w:tcPr>
          <w:p>
            <w:pPr>
              <w:ind w:left="760"/>
              <w:spacing w:after="0" w:line="230" w:lineRule="exact"/>
              <w:rPr>
                <w:sz w:val="20"/>
                <w:szCs w:val="20"/>
                <w:color w:val="auto"/>
              </w:rPr>
            </w:pPr>
            <w:r>
              <w:rPr>
                <w:rFonts w:ascii="Arial" w:cs="Arial" w:eastAsia="Arial" w:hAnsi="Arial"/>
                <w:sz w:val="20"/>
                <w:szCs w:val="20"/>
                <w:color w:val="auto"/>
                <w:w w:val="99"/>
              </w:rPr>
              <w:t>FAS 141</w:t>
            </w:r>
            <w:r>
              <w:rPr>
                <w:rFonts w:ascii="MS PGothic" w:cs="MS PGothic" w:eastAsia="MS PGothic" w:hAnsi="MS PGothic"/>
                <w:sz w:val="20"/>
                <w:szCs w:val="20"/>
                <w:color w:val="auto"/>
                <w:w w:val="99"/>
              </w:rPr>
              <w:t>‑</w:t>
            </w:r>
            <w:r>
              <w:rPr>
                <w:rFonts w:ascii="Arial" w:cs="Arial" w:eastAsia="Arial" w:hAnsi="Arial"/>
                <w:sz w:val="20"/>
                <w:szCs w:val="20"/>
                <w:color w:val="auto"/>
                <w:w w:val="99"/>
              </w:rPr>
              <w:t>R reducing Consolidated Net Income (including the Consolidated</w:t>
            </w:r>
          </w:p>
        </w:tc>
        <w:tc>
          <w:tcPr>
            <w:tcW w:w="1220" w:type="dxa"/>
            <w:vAlign w:val="bottom"/>
          </w:tcPr>
          <w:p>
            <w:pPr>
              <w:spacing w:after="0"/>
              <w:rPr>
                <w:sz w:val="19"/>
                <w:szCs w:val="19"/>
                <w:color w:val="auto"/>
              </w:rPr>
            </w:pPr>
          </w:p>
        </w:tc>
      </w:tr>
      <w:tr>
        <w:trPr>
          <w:trHeight w:val="314"/>
        </w:trPr>
        <w:tc>
          <w:tcPr>
            <w:tcW w:w="540" w:type="dxa"/>
            <w:vAlign w:val="bottom"/>
          </w:tcPr>
          <w:p>
            <w:pPr>
              <w:spacing w:after="0"/>
              <w:rPr>
                <w:sz w:val="24"/>
                <w:szCs w:val="24"/>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4"/>
              </w:rPr>
              <w:t>Group Pro Rata Share of acquisition closing costs of Unconsolidated Affiliates</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540" w:type="dxa"/>
            <w:vAlign w:val="bottom"/>
          </w:tcPr>
          <w:p>
            <w:pPr>
              <w:spacing w:after="0"/>
              <w:rPr>
                <w:sz w:val="21"/>
                <w:szCs w:val="21"/>
                <w:color w:val="auto"/>
              </w:rPr>
            </w:pPr>
          </w:p>
        </w:tc>
        <w:tc>
          <w:tcPr>
            <w:tcW w:w="7300" w:type="dxa"/>
            <w:vAlign w:val="bottom"/>
          </w:tcPr>
          <w:p>
            <w:pPr>
              <w:ind w:left="760"/>
              <w:spacing w:after="0" w:line="230" w:lineRule="exact"/>
              <w:rPr>
                <w:sz w:val="20"/>
                <w:szCs w:val="20"/>
                <w:color w:val="auto"/>
              </w:rPr>
            </w:pPr>
            <w:r>
              <w:rPr>
                <w:rFonts w:ascii="Arial" w:cs="Arial" w:eastAsia="Arial" w:hAnsi="Arial"/>
                <w:sz w:val="20"/>
                <w:szCs w:val="20"/>
                <w:color w:val="auto"/>
                <w:w w:val="96"/>
              </w:rPr>
              <w:t>that were capitalized prior to FAS 141</w:t>
            </w:r>
            <w:r>
              <w:rPr>
                <w:rFonts w:ascii="MS PGothic" w:cs="MS PGothic" w:eastAsia="MS PGothic" w:hAnsi="MS PGothic"/>
                <w:sz w:val="20"/>
                <w:szCs w:val="20"/>
                <w:color w:val="auto"/>
                <w:w w:val="96"/>
              </w:rPr>
              <w:t>‑</w:t>
            </w:r>
            <w:r>
              <w:rPr>
                <w:rFonts w:ascii="Arial" w:cs="Arial" w:eastAsia="Arial" w:hAnsi="Arial"/>
                <w:sz w:val="20"/>
                <w:szCs w:val="20"/>
                <w:color w:val="auto"/>
                <w:w w:val="96"/>
              </w:rPr>
              <w:t>R reducing Consolidated Net Income):</w:t>
            </w:r>
          </w:p>
        </w:tc>
        <w:tc>
          <w:tcPr>
            <w:tcW w:w="1220" w:type="dxa"/>
            <w:vAlign w:val="bottom"/>
          </w:tcPr>
          <w:p>
            <w:pPr>
              <w:spacing w:after="0"/>
              <w:rPr>
                <w:sz w:val="21"/>
                <w:szCs w:val="21"/>
                <w:color w:val="auto"/>
              </w:rPr>
            </w:pPr>
          </w:p>
        </w:tc>
      </w:tr>
      <w:tr>
        <w:trPr>
          <w:trHeight w:val="449"/>
        </w:trPr>
        <w:tc>
          <w:tcPr>
            <w:tcW w:w="540" w:type="dxa"/>
            <w:vAlign w:val="bottom"/>
          </w:tcPr>
          <w:p>
            <w:pPr>
              <w:spacing w:after="0"/>
              <w:rPr>
                <w:sz w:val="24"/>
                <w:szCs w:val="24"/>
                <w:color w:val="auto"/>
              </w:rPr>
            </w:pPr>
          </w:p>
        </w:tc>
        <w:tc>
          <w:tcPr>
            <w:tcW w:w="7300" w:type="dxa"/>
            <w:vAlign w:val="bottom"/>
          </w:tcPr>
          <w:p>
            <w:pPr>
              <w:ind w:left="360"/>
              <w:spacing w:after="0"/>
              <w:rPr>
                <w:sz w:val="20"/>
                <w:szCs w:val="20"/>
                <w:color w:val="auto"/>
              </w:rPr>
            </w:pPr>
            <w:r>
              <w:rPr>
                <w:rFonts w:ascii="Arial" w:cs="Arial" w:eastAsia="Arial" w:hAnsi="Arial"/>
                <w:sz w:val="20"/>
                <w:szCs w:val="20"/>
                <w:color w:val="auto"/>
                <w:w w:val="94"/>
              </w:rPr>
              <w:t>7. Depreciation and amortization expense of the Consolidated Group (including the</w:t>
            </w:r>
          </w:p>
        </w:tc>
        <w:tc>
          <w:tcPr>
            <w:tcW w:w="1220" w:type="dxa"/>
            <w:vAlign w:val="bottom"/>
          </w:tcPr>
          <w:p>
            <w:pPr>
              <w:spacing w:after="0"/>
              <w:rPr>
                <w:sz w:val="24"/>
                <w:szCs w:val="24"/>
                <w:color w:val="auto"/>
              </w:rPr>
            </w:pPr>
          </w:p>
        </w:tc>
      </w:tr>
      <w:tr>
        <w:trPr>
          <w:trHeight w:val="314"/>
        </w:trPr>
        <w:tc>
          <w:tcPr>
            <w:tcW w:w="540" w:type="dxa"/>
            <w:vAlign w:val="bottom"/>
          </w:tcPr>
          <w:p>
            <w:pPr>
              <w:spacing w:after="0"/>
              <w:rPr>
                <w:sz w:val="24"/>
                <w:szCs w:val="24"/>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1"/>
              </w:rPr>
              <w:t>Consolidated Group Pro Rata Share of depreciation and amortization expense of</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540" w:type="dxa"/>
            <w:vAlign w:val="bottom"/>
          </w:tcPr>
          <w:p>
            <w:pPr>
              <w:spacing w:after="0"/>
              <w:rPr>
                <w:sz w:val="21"/>
                <w:szCs w:val="21"/>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each Unconsolidated Affiliate) for 4 Quarter Subject Period:</w:t>
            </w:r>
          </w:p>
        </w:tc>
        <w:tc>
          <w:tcPr>
            <w:tcW w:w="1220" w:type="dxa"/>
            <w:vAlign w:val="bottom"/>
          </w:tcPr>
          <w:p>
            <w:pPr>
              <w:spacing w:after="0"/>
              <w:rPr>
                <w:sz w:val="21"/>
                <w:szCs w:val="21"/>
                <w:color w:val="auto"/>
              </w:rPr>
            </w:pPr>
          </w:p>
        </w:tc>
      </w:tr>
      <w:tr>
        <w:trPr>
          <w:trHeight w:val="449"/>
        </w:trPr>
        <w:tc>
          <w:tcPr>
            <w:tcW w:w="540" w:type="dxa"/>
            <w:vAlign w:val="bottom"/>
          </w:tcPr>
          <w:p>
            <w:pPr>
              <w:spacing w:after="0"/>
              <w:rPr>
                <w:sz w:val="24"/>
                <w:szCs w:val="24"/>
                <w:color w:val="auto"/>
              </w:rPr>
            </w:pPr>
          </w:p>
        </w:tc>
        <w:tc>
          <w:tcPr>
            <w:tcW w:w="7300" w:type="dxa"/>
            <w:vAlign w:val="bottom"/>
          </w:tcPr>
          <w:p>
            <w:pPr>
              <w:ind w:left="360"/>
              <w:spacing w:after="0" w:line="230" w:lineRule="exact"/>
              <w:rPr>
                <w:sz w:val="20"/>
                <w:szCs w:val="20"/>
                <w:color w:val="auto"/>
              </w:rPr>
            </w:pPr>
            <w:r>
              <w:rPr>
                <w:rFonts w:ascii="Arial" w:cs="Arial" w:eastAsia="Arial" w:hAnsi="Arial"/>
                <w:sz w:val="20"/>
                <w:szCs w:val="20"/>
                <w:color w:val="auto"/>
                <w:w w:val="90"/>
              </w:rPr>
              <w:t>8. One</w:t>
            </w:r>
            <w:r>
              <w:rPr>
                <w:rFonts w:ascii="MS PGothic" w:cs="MS PGothic" w:eastAsia="MS PGothic" w:hAnsi="MS PGothic"/>
                <w:sz w:val="20"/>
                <w:szCs w:val="20"/>
                <w:color w:val="auto"/>
                <w:w w:val="90"/>
              </w:rPr>
              <w:t>‑</w:t>
            </w:r>
            <w:r>
              <w:rPr>
                <w:rFonts w:ascii="Arial" w:cs="Arial" w:eastAsia="Arial" w:hAnsi="Arial"/>
                <w:sz w:val="20"/>
                <w:szCs w:val="20"/>
                <w:color w:val="auto"/>
                <w:w w:val="90"/>
              </w:rPr>
              <w:t>time costs and expenses relating to the issuance of the Notes evidenced by the</w:t>
            </w:r>
          </w:p>
        </w:tc>
        <w:tc>
          <w:tcPr>
            <w:tcW w:w="1220" w:type="dxa"/>
            <w:vAlign w:val="bottom"/>
          </w:tcPr>
          <w:p>
            <w:pPr>
              <w:spacing w:after="0"/>
              <w:rPr>
                <w:sz w:val="24"/>
                <w:szCs w:val="24"/>
                <w:color w:val="auto"/>
              </w:rPr>
            </w:pPr>
          </w:p>
        </w:tc>
      </w:tr>
      <w:tr>
        <w:trPr>
          <w:trHeight w:val="230"/>
        </w:trPr>
        <w:tc>
          <w:tcPr>
            <w:tcW w:w="540" w:type="dxa"/>
            <w:vAlign w:val="bottom"/>
          </w:tcPr>
          <w:p>
            <w:pPr>
              <w:spacing w:after="0"/>
              <w:rPr>
                <w:sz w:val="19"/>
                <w:szCs w:val="19"/>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6"/>
              </w:rPr>
              <w:t>Agreement and the transactions relating thereto, to the extent such fees and</w:t>
            </w:r>
          </w:p>
        </w:tc>
        <w:tc>
          <w:tcPr>
            <w:tcW w:w="1220" w:type="dxa"/>
            <w:vAlign w:val="bottom"/>
          </w:tcPr>
          <w:p>
            <w:pPr>
              <w:spacing w:after="0"/>
              <w:rPr>
                <w:sz w:val="19"/>
                <w:szCs w:val="19"/>
                <w:color w:val="auto"/>
              </w:rPr>
            </w:pPr>
          </w:p>
        </w:tc>
      </w:tr>
      <w:tr>
        <w:trPr>
          <w:trHeight w:val="314"/>
        </w:trPr>
        <w:tc>
          <w:tcPr>
            <w:tcW w:w="540" w:type="dxa"/>
            <w:vAlign w:val="bottom"/>
          </w:tcPr>
          <w:p>
            <w:pPr>
              <w:spacing w:after="0"/>
              <w:rPr>
                <w:sz w:val="24"/>
                <w:szCs w:val="24"/>
                <w:color w:val="auto"/>
              </w:rPr>
            </w:pPr>
          </w:p>
        </w:tc>
        <w:tc>
          <w:tcPr>
            <w:tcW w:w="7300" w:type="dxa"/>
            <w:vAlign w:val="bottom"/>
          </w:tcPr>
          <w:p>
            <w:pPr>
              <w:ind w:left="760"/>
              <w:spacing w:after="0" w:line="230" w:lineRule="exact"/>
              <w:rPr>
                <w:sz w:val="20"/>
                <w:szCs w:val="20"/>
                <w:color w:val="auto"/>
              </w:rPr>
            </w:pPr>
            <w:r>
              <w:rPr>
                <w:rFonts w:ascii="Arial" w:cs="Arial" w:eastAsia="Arial" w:hAnsi="Arial"/>
                <w:sz w:val="20"/>
                <w:szCs w:val="20"/>
                <w:color w:val="auto"/>
                <w:w w:val="96"/>
              </w:rPr>
              <w:t>expenses are incurred on or prior to the date that is ninety</w:t>
            </w:r>
            <w:r>
              <w:rPr>
                <w:rFonts w:ascii="MS PGothic" w:cs="MS PGothic" w:eastAsia="MS PGothic" w:hAnsi="MS PGothic"/>
                <w:sz w:val="20"/>
                <w:szCs w:val="20"/>
                <w:color w:val="auto"/>
                <w:w w:val="96"/>
              </w:rPr>
              <w:t>‑</w:t>
            </w:r>
            <w:r>
              <w:rPr>
                <w:rFonts w:ascii="Arial" w:cs="Arial" w:eastAsia="Arial" w:hAnsi="Arial"/>
                <w:sz w:val="20"/>
                <w:szCs w:val="20"/>
                <w:color w:val="auto"/>
                <w:w w:val="96"/>
              </w:rPr>
              <w:t>days following the</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540" w:type="dxa"/>
            <w:vAlign w:val="bottom"/>
          </w:tcPr>
          <w:p>
            <w:pPr>
              <w:spacing w:after="0"/>
              <w:rPr>
                <w:sz w:val="21"/>
                <w:szCs w:val="21"/>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Closing:</w:t>
            </w:r>
          </w:p>
        </w:tc>
        <w:tc>
          <w:tcPr>
            <w:tcW w:w="1220" w:type="dxa"/>
            <w:vAlign w:val="bottom"/>
          </w:tcPr>
          <w:p>
            <w:pPr>
              <w:spacing w:after="0"/>
              <w:rPr>
                <w:sz w:val="21"/>
                <w:szCs w:val="21"/>
                <w:color w:val="auto"/>
              </w:rPr>
            </w:pPr>
          </w:p>
        </w:tc>
      </w:tr>
      <w:tr>
        <w:trPr>
          <w:trHeight w:val="449"/>
        </w:trPr>
        <w:tc>
          <w:tcPr>
            <w:tcW w:w="540" w:type="dxa"/>
            <w:vAlign w:val="bottom"/>
          </w:tcPr>
          <w:p>
            <w:pPr>
              <w:spacing w:after="0"/>
              <w:rPr>
                <w:sz w:val="24"/>
                <w:szCs w:val="24"/>
                <w:color w:val="auto"/>
              </w:rPr>
            </w:pPr>
          </w:p>
        </w:tc>
        <w:tc>
          <w:tcPr>
            <w:tcW w:w="7300" w:type="dxa"/>
            <w:vAlign w:val="bottom"/>
          </w:tcPr>
          <w:p>
            <w:pPr>
              <w:ind w:left="360"/>
              <w:spacing w:after="0" w:line="230" w:lineRule="exact"/>
              <w:rPr>
                <w:sz w:val="20"/>
                <w:szCs w:val="20"/>
                <w:color w:val="auto"/>
              </w:rPr>
            </w:pPr>
            <w:r>
              <w:rPr>
                <w:rFonts w:ascii="Arial" w:cs="Arial" w:eastAsia="Arial" w:hAnsi="Arial"/>
                <w:sz w:val="20"/>
                <w:szCs w:val="20"/>
                <w:color w:val="auto"/>
                <w:w w:val="92"/>
              </w:rPr>
              <w:t>9. Non</w:t>
            </w:r>
            <w:r>
              <w:rPr>
                <w:rFonts w:ascii="MS PGothic" w:cs="MS PGothic" w:eastAsia="MS PGothic" w:hAnsi="MS PGothic"/>
                <w:sz w:val="20"/>
                <w:szCs w:val="20"/>
                <w:color w:val="auto"/>
                <w:w w:val="92"/>
              </w:rPr>
              <w:t>‑</w:t>
            </w:r>
            <w:r>
              <w:rPr>
                <w:rFonts w:ascii="Arial" w:cs="Arial" w:eastAsia="Arial" w:hAnsi="Arial"/>
                <w:sz w:val="20"/>
                <w:szCs w:val="20"/>
                <w:color w:val="auto"/>
                <w:w w:val="92"/>
              </w:rPr>
              <w:t>cash items of the Consolidated Group for 4 Quarter Subject Period increasing</w:t>
            </w:r>
          </w:p>
        </w:tc>
        <w:tc>
          <w:tcPr>
            <w:tcW w:w="1220" w:type="dxa"/>
            <w:vAlign w:val="bottom"/>
          </w:tcPr>
          <w:p>
            <w:pPr>
              <w:spacing w:after="0"/>
              <w:rPr>
                <w:sz w:val="24"/>
                <w:szCs w:val="24"/>
                <w:color w:val="auto"/>
              </w:rPr>
            </w:pPr>
          </w:p>
        </w:tc>
      </w:tr>
      <w:tr>
        <w:trPr>
          <w:trHeight w:val="230"/>
        </w:trPr>
        <w:tc>
          <w:tcPr>
            <w:tcW w:w="540" w:type="dxa"/>
            <w:vAlign w:val="bottom"/>
          </w:tcPr>
          <w:p>
            <w:pPr>
              <w:spacing w:after="0"/>
              <w:rPr>
                <w:sz w:val="19"/>
                <w:szCs w:val="19"/>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6"/>
              </w:rPr>
              <w:t>Consolidated Net Income (other than the reversal of any accrual of a reserve</w:t>
            </w:r>
          </w:p>
        </w:tc>
        <w:tc>
          <w:tcPr>
            <w:tcW w:w="1220" w:type="dxa"/>
            <w:vAlign w:val="bottom"/>
          </w:tcPr>
          <w:p>
            <w:pPr>
              <w:spacing w:after="0"/>
              <w:rPr>
                <w:sz w:val="19"/>
                <w:szCs w:val="19"/>
                <w:color w:val="auto"/>
              </w:rPr>
            </w:pPr>
          </w:p>
        </w:tc>
      </w:tr>
      <w:tr>
        <w:trPr>
          <w:trHeight w:val="314"/>
        </w:trPr>
        <w:tc>
          <w:tcPr>
            <w:tcW w:w="540" w:type="dxa"/>
            <w:vAlign w:val="bottom"/>
          </w:tcPr>
          <w:p>
            <w:pPr>
              <w:spacing w:after="0"/>
              <w:rPr>
                <w:sz w:val="24"/>
                <w:szCs w:val="24"/>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4"/>
              </w:rPr>
              <w:t>referred to in the parenthetical in Line IV.A.4. above, except to the extent such</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540" w:type="dxa"/>
            <w:vAlign w:val="bottom"/>
          </w:tcPr>
          <w:p>
            <w:pPr>
              <w:spacing w:after="0"/>
              <w:rPr>
                <w:sz w:val="21"/>
                <w:szCs w:val="21"/>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reversal results from a cash payment):</w:t>
            </w:r>
          </w:p>
        </w:tc>
        <w:tc>
          <w:tcPr>
            <w:tcW w:w="1220" w:type="dxa"/>
            <w:vAlign w:val="bottom"/>
          </w:tcPr>
          <w:p>
            <w:pPr>
              <w:spacing w:after="0"/>
              <w:rPr>
                <w:sz w:val="21"/>
                <w:szCs w:val="21"/>
                <w:color w:val="auto"/>
              </w:rPr>
            </w:pPr>
          </w:p>
        </w:tc>
      </w:tr>
      <w:tr>
        <w:trPr>
          <w:trHeight w:val="449"/>
        </w:trPr>
        <w:tc>
          <w:tcPr>
            <w:tcW w:w="540" w:type="dxa"/>
            <w:vAlign w:val="bottom"/>
          </w:tcPr>
          <w:p>
            <w:pPr>
              <w:spacing w:after="0"/>
              <w:rPr>
                <w:sz w:val="24"/>
                <w:szCs w:val="24"/>
                <w:color w:val="auto"/>
              </w:rPr>
            </w:pPr>
          </w:p>
        </w:tc>
        <w:tc>
          <w:tcPr>
            <w:tcW w:w="7300" w:type="dxa"/>
            <w:vAlign w:val="bottom"/>
          </w:tcPr>
          <w:p>
            <w:pPr>
              <w:ind w:left="360"/>
              <w:spacing w:after="0" w:line="230" w:lineRule="exact"/>
              <w:rPr>
                <w:sz w:val="20"/>
                <w:szCs w:val="20"/>
                <w:color w:val="auto"/>
              </w:rPr>
            </w:pPr>
            <w:r>
              <w:rPr>
                <w:rFonts w:ascii="Arial" w:cs="Arial" w:eastAsia="Arial" w:hAnsi="Arial"/>
                <w:sz w:val="20"/>
                <w:szCs w:val="20"/>
                <w:color w:val="auto"/>
                <w:w w:val="90"/>
              </w:rPr>
              <w:t>10. Consolidated Group Pro Rata Share of non</w:t>
            </w:r>
            <w:r>
              <w:rPr>
                <w:rFonts w:ascii="MS PGothic" w:cs="MS PGothic" w:eastAsia="MS PGothic" w:hAnsi="MS PGothic"/>
                <w:sz w:val="20"/>
                <w:szCs w:val="20"/>
                <w:color w:val="auto"/>
                <w:w w:val="90"/>
              </w:rPr>
              <w:t>‑</w:t>
            </w:r>
            <w:r>
              <w:rPr>
                <w:rFonts w:ascii="Arial" w:cs="Arial" w:eastAsia="Arial" w:hAnsi="Arial"/>
                <w:sz w:val="20"/>
                <w:szCs w:val="20"/>
                <w:color w:val="auto"/>
                <w:w w:val="90"/>
              </w:rPr>
              <w:t>cash items of Unconsolidated Affiliates</w:t>
            </w:r>
          </w:p>
        </w:tc>
        <w:tc>
          <w:tcPr>
            <w:tcW w:w="1220" w:type="dxa"/>
            <w:vAlign w:val="bottom"/>
          </w:tcPr>
          <w:p>
            <w:pPr>
              <w:spacing w:after="0"/>
              <w:rPr>
                <w:sz w:val="24"/>
                <w:szCs w:val="24"/>
                <w:color w:val="auto"/>
              </w:rPr>
            </w:pPr>
          </w:p>
        </w:tc>
      </w:tr>
      <w:tr>
        <w:trPr>
          <w:trHeight w:val="230"/>
        </w:trPr>
        <w:tc>
          <w:tcPr>
            <w:tcW w:w="540" w:type="dxa"/>
            <w:vAlign w:val="bottom"/>
          </w:tcPr>
          <w:p>
            <w:pPr>
              <w:spacing w:after="0"/>
              <w:rPr>
                <w:sz w:val="19"/>
                <w:szCs w:val="19"/>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1"/>
              </w:rPr>
              <w:t>for 4 Quarter Subject Period increasing Consolidated Net Income (other than the</w:t>
            </w:r>
          </w:p>
        </w:tc>
        <w:tc>
          <w:tcPr>
            <w:tcW w:w="1220" w:type="dxa"/>
            <w:vAlign w:val="bottom"/>
          </w:tcPr>
          <w:p>
            <w:pPr>
              <w:spacing w:after="0"/>
              <w:rPr>
                <w:sz w:val="19"/>
                <w:szCs w:val="19"/>
                <w:color w:val="auto"/>
              </w:rPr>
            </w:pPr>
          </w:p>
        </w:tc>
      </w:tr>
      <w:tr>
        <w:trPr>
          <w:trHeight w:val="314"/>
        </w:trPr>
        <w:tc>
          <w:tcPr>
            <w:tcW w:w="540" w:type="dxa"/>
            <w:vAlign w:val="bottom"/>
          </w:tcPr>
          <w:p>
            <w:pPr>
              <w:spacing w:after="0"/>
              <w:rPr>
                <w:sz w:val="24"/>
                <w:szCs w:val="24"/>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1"/>
              </w:rPr>
              <w:t>reversal of any accrual of a reserve referred to in the parenthetical in Line IV.A.5.</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540" w:type="dxa"/>
            <w:vAlign w:val="bottom"/>
          </w:tcPr>
          <w:p>
            <w:pPr>
              <w:spacing w:after="0"/>
              <w:rPr>
                <w:sz w:val="21"/>
                <w:szCs w:val="21"/>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above, except to the extent such reversal results from a cash payment):</w:t>
            </w:r>
          </w:p>
        </w:tc>
        <w:tc>
          <w:tcPr>
            <w:tcW w:w="1220" w:type="dxa"/>
            <w:vAlign w:val="bottom"/>
          </w:tcPr>
          <w:p>
            <w:pPr>
              <w:spacing w:after="0"/>
              <w:rPr>
                <w:sz w:val="21"/>
                <w:szCs w:val="21"/>
                <w:color w:val="auto"/>
              </w:rPr>
            </w:pPr>
          </w:p>
        </w:tc>
      </w:tr>
      <w:tr>
        <w:trPr>
          <w:trHeight w:val="449"/>
        </w:trPr>
        <w:tc>
          <w:tcPr>
            <w:tcW w:w="540" w:type="dxa"/>
            <w:vAlign w:val="bottom"/>
          </w:tcPr>
          <w:p>
            <w:pPr>
              <w:spacing w:after="0"/>
              <w:rPr>
                <w:sz w:val="24"/>
                <w:szCs w:val="24"/>
                <w:color w:val="auto"/>
              </w:rPr>
            </w:pPr>
          </w:p>
        </w:tc>
        <w:tc>
          <w:tcPr>
            <w:tcW w:w="7300" w:type="dxa"/>
            <w:vAlign w:val="bottom"/>
          </w:tcPr>
          <w:p>
            <w:pPr>
              <w:ind w:left="360"/>
              <w:spacing w:after="0"/>
              <w:rPr>
                <w:sz w:val="20"/>
                <w:szCs w:val="20"/>
                <w:color w:val="auto"/>
              </w:rPr>
            </w:pPr>
            <w:r>
              <w:rPr>
                <w:rFonts w:ascii="Arial" w:cs="Arial" w:eastAsia="Arial" w:hAnsi="Arial"/>
                <w:sz w:val="20"/>
                <w:szCs w:val="20"/>
                <w:color w:val="auto"/>
              </w:rPr>
              <w:t>11. Consolidated EBITDA (Lines IV.A.1.d. + Line IV.A.2. + Line IV.A.3. + Line</w:t>
            </w:r>
          </w:p>
        </w:tc>
        <w:tc>
          <w:tcPr>
            <w:tcW w:w="1220" w:type="dxa"/>
            <w:vAlign w:val="bottom"/>
          </w:tcPr>
          <w:p>
            <w:pPr>
              <w:spacing w:after="0"/>
              <w:rPr>
                <w:sz w:val="24"/>
                <w:szCs w:val="24"/>
                <w:color w:val="auto"/>
              </w:rPr>
            </w:pPr>
          </w:p>
        </w:tc>
      </w:tr>
      <w:tr>
        <w:trPr>
          <w:trHeight w:val="314"/>
        </w:trPr>
        <w:tc>
          <w:tcPr>
            <w:tcW w:w="540" w:type="dxa"/>
            <w:vAlign w:val="bottom"/>
          </w:tcPr>
          <w:p>
            <w:pPr>
              <w:spacing w:after="0"/>
              <w:rPr>
                <w:sz w:val="24"/>
                <w:szCs w:val="24"/>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IV.A.4. + Line IV.A.5. + Line IV.A.6. + Line IV.A.7. + Line IV.A.8. - Line</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540" w:type="dxa"/>
            <w:vAlign w:val="bottom"/>
          </w:tcPr>
          <w:p>
            <w:pPr>
              <w:spacing w:after="0"/>
              <w:rPr>
                <w:sz w:val="21"/>
                <w:szCs w:val="21"/>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IV.A.9. – Line IV.A.10.):</w:t>
            </w:r>
          </w:p>
        </w:tc>
        <w:tc>
          <w:tcPr>
            <w:tcW w:w="1220" w:type="dxa"/>
            <w:vAlign w:val="bottom"/>
          </w:tcPr>
          <w:p>
            <w:pPr>
              <w:spacing w:after="0"/>
              <w:rPr>
                <w:sz w:val="21"/>
                <w:szCs w:val="21"/>
                <w:color w:val="auto"/>
              </w:rPr>
            </w:pPr>
          </w:p>
        </w:tc>
      </w:tr>
      <w:tr>
        <w:trPr>
          <w:trHeight w:val="442"/>
        </w:trPr>
        <w:tc>
          <w:tcPr>
            <w:tcW w:w="540" w:type="dxa"/>
            <w:vAlign w:val="bottom"/>
          </w:tcPr>
          <w:p>
            <w:pPr>
              <w:spacing w:after="0"/>
              <w:rPr>
                <w:sz w:val="20"/>
                <w:szCs w:val="20"/>
                <w:color w:val="auto"/>
              </w:rPr>
            </w:pPr>
            <w:r>
              <w:rPr>
                <w:rFonts w:ascii="Arial" w:cs="Arial" w:eastAsia="Arial" w:hAnsi="Arial"/>
                <w:sz w:val="20"/>
                <w:szCs w:val="20"/>
                <w:color w:val="auto"/>
              </w:rPr>
              <w:t>B.</w:t>
            </w:r>
          </w:p>
        </w:tc>
        <w:tc>
          <w:tcPr>
            <w:tcW w:w="7300" w:type="dxa"/>
            <w:vAlign w:val="bottom"/>
          </w:tcPr>
          <w:p>
            <w:pPr>
              <w:ind w:left="380"/>
              <w:spacing w:after="0"/>
              <w:rPr>
                <w:sz w:val="20"/>
                <w:szCs w:val="20"/>
                <w:color w:val="auto"/>
              </w:rPr>
            </w:pPr>
            <w:r>
              <w:rPr>
                <w:rFonts w:ascii="Arial" w:cs="Arial" w:eastAsia="Arial" w:hAnsi="Arial"/>
                <w:sz w:val="20"/>
                <w:szCs w:val="20"/>
                <w:color w:val="auto"/>
              </w:rPr>
              <w:t>Consolidated Fixed Charges for 4 Quarter Subject Period:</w:t>
            </w:r>
          </w:p>
        </w:tc>
        <w:tc>
          <w:tcPr>
            <w:tcW w:w="1220" w:type="dxa"/>
            <w:vAlign w:val="bottom"/>
          </w:tcPr>
          <w:p>
            <w:pPr>
              <w:spacing w:after="0"/>
              <w:rPr>
                <w:sz w:val="24"/>
                <w:szCs w:val="24"/>
                <w:color w:val="auto"/>
              </w:rPr>
            </w:pPr>
          </w:p>
        </w:tc>
      </w:tr>
      <w:tr>
        <w:trPr>
          <w:trHeight w:val="789"/>
        </w:trPr>
        <w:tc>
          <w:tcPr>
            <w:tcW w:w="540" w:type="dxa"/>
            <w:vAlign w:val="bottom"/>
          </w:tcPr>
          <w:p>
            <w:pPr>
              <w:spacing w:after="0"/>
              <w:rPr>
                <w:sz w:val="24"/>
                <w:szCs w:val="24"/>
                <w:color w:val="auto"/>
              </w:rPr>
            </w:pPr>
          </w:p>
        </w:tc>
        <w:tc>
          <w:tcPr>
            <w:tcW w:w="7300" w:type="dxa"/>
            <w:vAlign w:val="bottom"/>
          </w:tcPr>
          <w:p>
            <w:pPr>
              <w:ind w:left="4040"/>
              <w:spacing w:after="0"/>
              <w:rPr>
                <w:sz w:val="20"/>
                <w:szCs w:val="20"/>
                <w:color w:val="auto"/>
              </w:rPr>
            </w:pPr>
            <w:r>
              <w:rPr>
                <w:rFonts w:ascii="Arial" w:cs="Arial" w:eastAsia="Arial" w:hAnsi="Arial"/>
                <w:sz w:val="22"/>
                <w:szCs w:val="22"/>
                <w:color w:val="auto"/>
              </w:rPr>
              <w:t>- 5 -</w:t>
            </w:r>
          </w:p>
        </w:tc>
        <w:tc>
          <w:tcPr>
            <w:tcW w:w="1220" w:type="dxa"/>
            <w:vAlign w:val="bottom"/>
          </w:tcPr>
          <w:p>
            <w:pPr>
              <w:spacing w:after="0"/>
              <w:rPr>
                <w:sz w:val="24"/>
                <w:szCs w:val="24"/>
                <w:color w:val="auto"/>
              </w:rPr>
            </w:pPr>
          </w:p>
        </w:tc>
      </w:tr>
    </w:tbl>
    <w:p>
      <w:pPr>
        <w:sectPr>
          <w:pgSz w:w="11900" w:h="16838" w:orient="portrait"/>
          <w:cols w:equalWidth="0" w:num="1">
            <w:col w:w="9259"/>
          </w:cols>
          <w:pgMar w:left="1200" w:top="960" w:right="1440" w:bottom="1440" w:gutter="0" w:footer="0" w:header="0"/>
        </w:sectPr>
      </w:pPr>
    </w:p>
    <w:bookmarkStart w:id="250" w:name="page251"/>
    <w:bookmarkEnd w:id="250"/>
    <w:p>
      <w:pPr>
        <w:spacing w:after="0" w:line="1" w:lineRule="exact"/>
        <w:rPr>
          <w:sz w:val="20"/>
          <w:szCs w:val="20"/>
          <w:color w:val="auto"/>
        </w:rPr>
      </w:pPr>
    </w:p>
    <w:tbl>
      <w:tblPr>
        <w:tblLayout w:type="fixed"/>
        <w:tblInd w:w="1820" w:type="dxa"/>
        <w:tblCellMar>
          <w:top w:w="0" w:type="dxa"/>
          <w:left w:w="0" w:type="dxa"/>
          <w:bottom w:w="0" w:type="dxa"/>
          <w:right w:w="0" w:type="dxa"/>
        </w:tblCellMar>
      </w:tblP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w w:val="97"/>
              </w:rPr>
              <w:t>1. Total cash interest expense (including, for the avoidance of doubt, capitalized</w:t>
            </w:r>
          </w:p>
        </w:tc>
        <w:tc>
          <w:tcPr>
            <w:tcW w:w="1220" w:type="dxa"/>
            <w:vAlign w:val="bottom"/>
          </w:tcPr>
          <w:p>
            <w:pPr>
              <w:spacing w:after="0"/>
              <w:rPr>
                <w:sz w:val="19"/>
                <w:szCs w:val="19"/>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w w:val="96"/>
              </w:rPr>
              <w:t>interest) of the Consolidated Group for 4 Quarter Subject Period determined on a</w:t>
            </w:r>
          </w:p>
        </w:tc>
        <w:tc>
          <w:tcPr>
            <w:tcW w:w="1220" w:type="dxa"/>
            <w:vAlign w:val="bottom"/>
          </w:tcPr>
          <w:p>
            <w:pPr>
              <w:spacing w:after="0"/>
              <w:rPr>
                <w:sz w:val="19"/>
                <w:szCs w:val="19"/>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w w:val="97"/>
              </w:rPr>
              <w:t>consolidated basis in accordance with GAAP (including the Consolidated Group</w:t>
            </w:r>
          </w:p>
        </w:tc>
        <w:tc>
          <w:tcPr>
            <w:tcW w:w="1220" w:type="dxa"/>
            <w:vAlign w:val="bottom"/>
          </w:tcPr>
          <w:p>
            <w:pPr>
              <w:spacing w:after="0"/>
              <w:rPr>
                <w:sz w:val="19"/>
                <w:szCs w:val="19"/>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rPr>
              <w:t>Pro Rata Share of total cash interest expense (including, for the avoidance of</w:t>
            </w:r>
          </w:p>
        </w:tc>
        <w:tc>
          <w:tcPr>
            <w:tcW w:w="1220" w:type="dxa"/>
            <w:vAlign w:val="bottom"/>
          </w:tcPr>
          <w:p>
            <w:pPr>
              <w:spacing w:after="0"/>
              <w:rPr>
                <w:sz w:val="19"/>
                <w:szCs w:val="19"/>
                <w:color w:val="auto"/>
              </w:rPr>
            </w:pPr>
          </w:p>
        </w:tc>
      </w:tr>
      <w:tr>
        <w:trPr>
          <w:trHeight w:val="314"/>
        </w:trPr>
        <w:tc>
          <w:tcPr>
            <w:tcW w:w="6940" w:type="dxa"/>
            <w:vAlign w:val="bottom"/>
          </w:tcPr>
          <w:p>
            <w:pPr>
              <w:jc w:val="right"/>
              <w:spacing w:after="0"/>
              <w:rPr>
                <w:sz w:val="20"/>
                <w:szCs w:val="20"/>
                <w:color w:val="auto"/>
              </w:rPr>
            </w:pPr>
            <w:r>
              <w:rPr>
                <w:rFonts w:ascii="Arial" w:cs="Arial" w:eastAsia="Arial" w:hAnsi="Arial"/>
                <w:sz w:val="20"/>
                <w:szCs w:val="20"/>
                <w:color w:val="auto"/>
              </w:rPr>
              <w:t>doubt, capitalized interest) of each Unconsolidated Affiliated for 4 Quarter</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6940" w:type="dxa"/>
            <w:vAlign w:val="bottom"/>
          </w:tcPr>
          <w:p>
            <w:pPr>
              <w:ind w:left="400"/>
              <w:spacing w:after="0"/>
              <w:rPr>
                <w:sz w:val="20"/>
                <w:szCs w:val="20"/>
                <w:color w:val="auto"/>
              </w:rPr>
            </w:pPr>
            <w:r>
              <w:rPr>
                <w:rFonts w:ascii="Arial" w:cs="Arial" w:eastAsia="Arial" w:hAnsi="Arial"/>
                <w:sz w:val="20"/>
                <w:szCs w:val="20"/>
                <w:color w:val="auto"/>
              </w:rPr>
              <w:t>Subject Period determined in accordance with GAAP):</w:t>
            </w:r>
          </w:p>
        </w:tc>
        <w:tc>
          <w:tcPr>
            <w:tcW w:w="1220" w:type="dxa"/>
            <w:vAlign w:val="bottom"/>
          </w:tcPr>
          <w:p>
            <w:pPr>
              <w:spacing w:after="0"/>
              <w:rPr>
                <w:sz w:val="21"/>
                <w:szCs w:val="21"/>
                <w:color w:val="auto"/>
              </w:rPr>
            </w:pPr>
          </w:p>
        </w:tc>
      </w:tr>
      <w:tr>
        <w:trPr>
          <w:trHeight w:val="533"/>
        </w:trPr>
        <w:tc>
          <w:tcPr>
            <w:tcW w:w="6940" w:type="dxa"/>
            <w:vAlign w:val="bottom"/>
          </w:tcPr>
          <w:p>
            <w:pPr>
              <w:jc w:val="right"/>
              <w:spacing w:after="0"/>
              <w:rPr>
                <w:sz w:val="20"/>
                <w:szCs w:val="20"/>
                <w:color w:val="auto"/>
              </w:rPr>
            </w:pPr>
            <w:r>
              <w:rPr>
                <w:rFonts w:ascii="Arial" w:cs="Arial" w:eastAsia="Arial" w:hAnsi="Arial"/>
                <w:sz w:val="20"/>
                <w:szCs w:val="20"/>
                <w:color w:val="auto"/>
                <w:w w:val="91"/>
              </w:rPr>
              <w:t>2. Scheduled payments of principal on Consolidated Total Debt for 4 Quarter Subject</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6940" w:type="dxa"/>
            <w:vAlign w:val="bottom"/>
          </w:tcPr>
          <w:p>
            <w:pPr>
              <w:ind w:left="400"/>
              <w:spacing w:after="0"/>
              <w:rPr>
                <w:sz w:val="20"/>
                <w:szCs w:val="20"/>
                <w:color w:val="auto"/>
              </w:rPr>
            </w:pPr>
            <w:r>
              <w:rPr>
                <w:rFonts w:ascii="Arial" w:cs="Arial" w:eastAsia="Arial" w:hAnsi="Arial"/>
                <w:sz w:val="20"/>
                <w:szCs w:val="20"/>
                <w:color w:val="auto"/>
              </w:rPr>
              <w:t>Period (excluding balloon payments payable on maturity):</w:t>
            </w:r>
          </w:p>
        </w:tc>
        <w:tc>
          <w:tcPr>
            <w:tcW w:w="1220" w:type="dxa"/>
            <w:vAlign w:val="bottom"/>
          </w:tcPr>
          <w:p>
            <w:pPr>
              <w:spacing w:after="0"/>
              <w:rPr>
                <w:sz w:val="21"/>
                <w:szCs w:val="21"/>
                <w:color w:val="auto"/>
              </w:rPr>
            </w:pPr>
          </w:p>
        </w:tc>
      </w:tr>
      <w:tr>
        <w:trPr>
          <w:trHeight w:val="449"/>
        </w:trPr>
        <w:tc>
          <w:tcPr>
            <w:tcW w:w="6940" w:type="dxa"/>
            <w:vAlign w:val="bottom"/>
          </w:tcPr>
          <w:p>
            <w:pPr>
              <w:jc w:val="right"/>
              <w:spacing w:after="0"/>
              <w:rPr>
                <w:sz w:val="20"/>
                <w:szCs w:val="20"/>
                <w:color w:val="auto"/>
              </w:rPr>
            </w:pPr>
            <w:r>
              <w:rPr>
                <w:rFonts w:ascii="Arial" w:cs="Arial" w:eastAsia="Arial" w:hAnsi="Arial"/>
                <w:sz w:val="20"/>
                <w:szCs w:val="20"/>
                <w:color w:val="auto"/>
                <w:w w:val="90"/>
              </w:rPr>
              <w:t>3. The amount of dividends or distributions paid or required to be paid by any member</w:t>
            </w:r>
          </w:p>
        </w:tc>
        <w:tc>
          <w:tcPr>
            <w:tcW w:w="1220" w:type="dxa"/>
            <w:vAlign w:val="bottom"/>
          </w:tcPr>
          <w:p>
            <w:pPr>
              <w:spacing w:after="0"/>
              <w:rPr>
                <w:sz w:val="24"/>
                <w:szCs w:val="24"/>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w w:val="99"/>
              </w:rPr>
              <w:t>of the Consolidated Group (other than to another member of the Consolidated</w:t>
            </w:r>
          </w:p>
        </w:tc>
        <w:tc>
          <w:tcPr>
            <w:tcW w:w="1220" w:type="dxa"/>
            <w:vAlign w:val="bottom"/>
          </w:tcPr>
          <w:p>
            <w:pPr>
              <w:spacing w:after="0"/>
              <w:rPr>
                <w:sz w:val="19"/>
                <w:szCs w:val="19"/>
                <w:color w:val="auto"/>
              </w:rPr>
            </w:pPr>
          </w:p>
        </w:tc>
      </w:tr>
      <w:tr>
        <w:trPr>
          <w:trHeight w:val="230"/>
        </w:trPr>
        <w:tc>
          <w:tcPr>
            <w:tcW w:w="6940" w:type="dxa"/>
            <w:vAlign w:val="bottom"/>
          </w:tcPr>
          <w:p>
            <w:pPr>
              <w:jc w:val="right"/>
              <w:spacing w:after="0"/>
              <w:rPr>
                <w:sz w:val="20"/>
                <w:szCs w:val="20"/>
                <w:color w:val="auto"/>
              </w:rPr>
            </w:pPr>
            <w:r>
              <w:rPr>
                <w:rFonts w:ascii="Arial" w:cs="Arial" w:eastAsia="Arial" w:hAnsi="Arial"/>
                <w:sz w:val="20"/>
                <w:szCs w:val="20"/>
                <w:color w:val="auto"/>
                <w:w w:val="95"/>
              </w:rPr>
              <w:t>Group) during 4 Quarter Subject Period in respect of its preferred Equity Interests</w:t>
            </w:r>
          </w:p>
        </w:tc>
        <w:tc>
          <w:tcPr>
            <w:tcW w:w="1220" w:type="dxa"/>
            <w:vAlign w:val="bottom"/>
          </w:tcPr>
          <w:p>
            <w:pPr>
              <w:spacing w:after="0"/>
              <w:rPr>
                <w:sz w:val="19"/>
                <w:szCs w:val="19"/>
                <w:color w:val="auto"/>
              </w:rPr>
            </w:pPr>
          </w:p>
        </w:tc>
      </w:tr>
      <w:tr>
        <w:trPr>
          <w:trHeight w:val="314"/>
        </w:trPr>
        <w:tc>
          <w:tcPr>
            <w:tcW w:w="6940" w:type="dxa"/>
            <w:vAlign w:val="bottom"/>
          </w:tcPr>
          <w:p>
            <w:pPr>
              <w:jc w:val="right"/>
              <w:spacing w:after="0"/>
              <w:rPr>
                <w:sz w:val="20"/>
                <w:szCs w:val="20"/>
                <w:color w:val="auto"/>
              </w:rPr>
            </w:pPr>
            <w:r>
              <w:rPr>
                <w:rFonts w:ascii="Arial" w:cs="Arial" w:eastAsia="Arial" w:hAnsi="Arial"/>
                <w:sz w:val="20"/>
                <w:szCs w:val="20"/>
                <w:color w:val="auto"/>
                <w:w w:val="98"/>
              </w:rPr>
              <w:t>(excluding any balloon payments payable on maturity or redemption in whole of</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6940" w:type="dxa"/>
            <w:vAlign w:val="bottom"/>
          </w:tcPr>
          <w:p>
            <w:pPr>
              <w:ind w:left="400"/>
              <w:spacing w:after="0"/>
              <w:rPr>
                <w:sz w:val="20"/>
                <w:szCs w:val="20"/>
                <w:color w:val="auto"/>
              </w:rPr>
            </w:pPr>
            <w:r>
              <w:rPr>
                <w:rFonts w:ascii="Arial" w:cs="Arial" w:eastAsia="Arial" w:hAnsi="Arial"/>
                <w:sz w:val="20"/>
                <w:szCs w:val="20"/>
                <w:color w:val="auto"/>
              </w:rPr>
              <w:t>such Equity Interests) :</w:t>
            </w:r>
          </w:p>
        </w:tc>
        <w:tc>
          <w:tcPr>
            <w:tcW w:w="1220" w:type="dxa"/>
            <w:vAlign w:val="bottom"/>
          </w:tcPr>
          <w:p>
            <w:pPr>
              <w:spacing w:after="0"/>
              <w:rPr>
                <w:sz w:val="21"/>
                <w:szCs w:val="21"/>
                <w:color w:val="auto"/>
              </w:rPr>
            </w:pPr>
          </w:p>
        </w:tc>
      </w:tr>
    </w:tbl>
    <w:p>
      <w:pPr>
        <w:spacing w:after="0" w:line="219" w:lineRule="exact"/>
        <w:rPr>
          <w:sz w:val="20"/>
          <w:szCs w:val="20"/>
          <w:color w:val="auto"/>
        </w:rPr>
      </w:pPr>
    </w:p>
    <w:p>
      <w:pPr>
        <w:jc w:val="right"/>
        <w:ind w:left="2220" w:right="1439" w:hanging="402"/>
        <w:spacing w:after="0" w:line="275" w:lineRule="auto"/>
        <w:tabs>
          <w:tab w:leader="none" w:pos="201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Consolidated Group Pro Rata Share of the amount of dividends or distributions paid or required to be paid by any Unconsolidated Affiliate (to Persons other than</w:t>
      </w:r>
    </w:p>
    <w:p>
      <w:pPr>
        <w:jc w:val="both"/>
        <w:ind w:left="2220" w:right="1459" w:firstLine="3"/>
        <w:spacing w:after="0" w:line="266" w:lineRule="auto"/>
        <w:tabs>
          <w:tab w:leader="none" w:pos="252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 member of the Consolidated Group or (y) an Unconsolidated Affiliate in which the percentage of Equity Interests of such Unconsolidated Affiliate owned by the Consolidated Group is greater than or equal to the percentage of Equity</w:t>
      </w:r>
    </w:p>
    <w:tbl>
      <w:tblPr>
        <w:tblLayout w:type="fixed"/>
        <w:tblInd w:w="1820" w:type="dxa"/>
        <w:tblCellMar>
          <w:top w:w="0" w:type="dxa"/>
          <w:left w:w="0" w:type="dxa"/>
          <w:bottom w:w="0" w:type="dxa"/>
          <w:right w:w="0" w:type="dxa"/>
        </w:tblCellMar>
      </w:tblPr>
      <w:tr>
        <w:trPr>
          <w:trHeight w:val="214"/>
        </w:trPr>
        <w:tc>
          <w:tcPr>
            <w:tcW w:w="6940" w:type="dxa"/>
            <w:vAlign w:val="bottom"/>
          </w:tcPr>
          <w:p>
            <w:pPr>
              <w:ind w:left="400"/>
              <w:spacing w:after="0" w:line="214" w:lineRule="exact"/>
              <w:rPr>
                <w:sz w:val="20"/>
                <w:szCs w:val="20"/>
                <w:color w:val="auto"/>
              </w:rPr>
            </w:pPr>
            <w:r>
              <w:rPr>
                <w:rFonts w:ascii="Arial" w:cs="Arial" w:eastAsia="Arial" w:hAnsi="Arial"/>
                <w:sz w:val="20"/>
                <w:szCs w:val="20"/>
                <w:color w:val="auto"/>
                <w:w w:val="99"/>
              </w:rPr>
              <w:t>Interests owned by the Consolidated Group in the Unconsolidated Affiliate</w:t>
            </w:r>
          </w:p>
        </w:tc>
        <w:tc>
          <w:tcPr>
            <w:tcW w:w="1380" w:type="dxa"/>
            <w:vAlign w:val="bottom"/>
          </w:tcPr>
          <w:p>
            <w:pPr>
              <w:spacing w:after="0"/>
              <w:rPr>
                <w:sz w:val="18"/>
                <w:szCs w:val="18"/>
                <w:color w:val="auto"/>
              </w:rPr>
            </w:pPr>
          </w:p>
        </w:tc>
      </w:tr>
      <w:tr>
        <w:trPr>
          <w:trHeight w:val="314"/>
        </w:trPr>
        <w:tc>
          <w:tcPr>
            <w:tcW w:w="6940" w:type="dxa"/>
            <w:vAlign w:val="bottom"/>
          </w:tcPr>
          <w:p>
            <w:pPr>
              <w:ind w:left="400"/>
              <w:spacing w:after="0"/>
              <w:rPr>
                <w:sz w:val="20"/>
                <w:szCs w:val="20"/>
                <w:color w:val="auto"/>
              </w:rPr>
            </w:pPr>
            <w:r>
              <w:rPr>
                <w:rFonts w:ascii="Arial" w:cs="Arial" w:eastAsia="Arial" w:hAnsi="Arial"/>
                <w:sz w:val="20"/>
                <w:szCs w:val="20"/>
                <w:color w:val="auto"/>
                <w:w w:val="92"/>
              </w:rPr>
              <w:t>paying the dividend or distribution) during 4 Quarter Subject Period in respect of</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w w:val="89"/>
              </w:rPr>
              <w:t>$___________</w:t>
            </w:r>
          </w:p>
        </w:tc>
      </w:tr>
      <w:tr>
        <w:trPr>
          <w:trHeight w:val="250"/>
        </w:trPr>
        <w:tc>
          <w:tcPr>
            <w:tcW w:w="6940" w:type="dxa"/>
            <w:vAlign w:val="bottom"/>
          </w:tcPr>
          <w:p>
            <w:pPr>
              <w:ind w:left="400"/>
              <w:spacing w:after="0"/>
              <w:rPr>
                <w:sz w:val="20"/>
                <w:szCs w:val="20"/>
                <w:color w:val="auto"/>
              </w:rPr>
            </w:pPr>
            <w:r>
              <w:rPr>
                <w:rFonts w:ascii="Arial" w:cs="Arial" w:eastAsia="Arial" w:hAnsi="Arial"/>
                <w:sz w:val="20"/>
                <w:szCs w:val="20"/>
                <w:color w:val="auto"/>
              </w:rPr>
              <w:t>its preferred Equity Interests:</w:t>
            </w:r>
          </w:p>
        </w:tc>
        <w:tc>
          <w:tcPr>
            <w:tcW w:w="1380" w:type="dxa"/>
            <w:vAlign w:val="bottom"/>
          </w:tcPr>
          <w:p>
            <w:pPr>
              <w:spacing w:after="0"/>
              <w:rPr>
                <w:sz w:val="21"/>
                <w:szCs w:val="21"/>
                <w:color w:val="auto"/>
              </w:rPr>
            </w:pPr>
          </w:p>
        </w:tc>
      </w:tr>
      <w:tr>
        <w:trPr>
          <w:trHeight w:val="533"/>
        </w:trPr>
        <w:tc>
          <w:tcPr>
            <w:tcW w:w="6940" w:type="dxa"/>
            <w:vAlign w:val="bottom"/>
          </w:tcPr>
          <w:p>
            <w:pPr>
              <w:spacing w:after="0"/>
              <w:rPr>
                <w:sz w:val="20"/>
                <w:szCs w:val="20"/>
                <w:color w:val="auto"/>
              </w:rPr>
            </w:pPr>
            <w:r>
              <w:rPr>
                <w:rFonts w:ascii="Arial" w:cs="Arial" w:eastAsia="Arial" w:hAnsi="Arial"/>
                <w:sz w:val="20"/>
                <w:szCs w:val="20"/>
                <w:color w:val="auto"/>
                <w:w w:val="98"/>
              </w:rPr>
              <w:t>5. Consolidated Fixed Charges (Line IV.B.1. + Line IV.B.2. + Line IV.B.3. + Line</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w w:val="89"/>
              </w:rPr>
              <w:t>$___________</w:t>
            </w:r>
          </w:p>
        </w:tc>
      </w:tr>
      <w:tr>
        <w:trPr>
          <w:trHeight w:val="250"/>
        </w:trPr>
        <w:tc>
          <w:tcPr>
            <w:tcW w:w="6940" w:type="dxa"/>
            <w:vAlign w:val="bottom"/>
          </w:tcPr>
          <w:p>
            <w:pPr>
              <w:ind w:left="400"/>
              <w:spacing w:after="0"/>
              <w:rPr>
                <w:sz w:val="20"/>
                <w:szCs w:val="20"/>
                <w:color w:val="auto"/>
              </w:rPr>
            </w:pPr>
            <w:r>
              <w:rPr>
                <w:rFonts w:ascii="Arial" w:cs="Arial" w:eastAsia="Arial" w:hAnsi="Arial"/>
                <w:sz w:val="20"/>
                <w:szCs w:val="20"/>
                <w:color w:val="auto"/>
              </w:rPr>
              <w:t>IV.B.4.):</w:t>
            </w:r>
          </w:p>
        </w:tc>
        <w:tc>
          <w:tcPr>
            <w:tcW w:w="1380" w:type="dxa"/>
            <w:vAlign w:val="bottom"/>
          </w:tcPr>
          <w:p>
            <w:pPr>
              <w:spacing w:after="0"/>
              <w:rPr>
                <w:sz w:val="21"/>
                <w:szCs w:val="21"/>
                <w:color w:val="auto"/>
              </w:rPr>
            </w:pPr>
          </w:p>
        </w:tc>
      </w:tr>
      <w:tr>
        <w:trPr>
          <w:trHeight w:val="489"/>
        </w:trPr>
        <w:tc>
          <w:tcPr>
            <w:tcW w:w="6940" w:type="dxa"/>
            <w:vAlign w:val="bottom"/>
          </w:tcPr>
          <w:p>
            <w:pPr>
              <w:ind w:left="20"/>
              <w:spacing w:after="0"/>
              <w:rPr>
                <w:sz w:val="20"/>
                <w:szCs w:val="20"/>
                <w:color w:val="auto"/>
              </w:rPr>
            </w:pPr>
            <w:r>
              <w:rPr>
                <w:rFonts w:ascii="Arial" w:cs="Arial" w:eastAsia="Arial" w:hAnsi="Arial"/>
                <w:sz w:val="20"/>
                <w:szCs w:val="20"/>
                <w:color w:val="auto"/>
              </w:rPr>
              <w:t xml:space="preserve">Consolidated Fixed Charge Coverage Ratio (Line IV.A.11. </w:t>
            </w:r>
            <w:r>
              <w:rPr>
                <w:rFonts w:ascii="Arial" w:cs="Arial" w:eastAsia="Arial" w:hAnsi="Arial"/>
                <w:sz w:val="21"/>
                <w:szCs w:val="21"/>
                <w:color w:val="auto"/>
              </w:rPr>
              <w:t>÷</w:t>
            </w:r>
            <w:r>
              <w:rPr>
                <w:rFonts w:ascii="Arial" w:cs="Arial" w:eastAsia="Arial" w:hAnsi="Arial"/>
                <w:sz w:val="20"/>
                <w:szCs w:val="20"/>
                <w:color w:val="auto"/>
              </w:rPr>
              <w:t xml:space="preserve"> Line IV.B.5.):</w:t>
            </w:r>
          </w:p>
        </w:tc>
        <w:tc>
          <w:tcPr>
            <w:tcW w:w="1380" w:type="dxa"/>
            <w:vAlign w:val="bottom"/>
          </w:tcPr>
          <w:p>
            <w:pPr>
              <w:jc w:val="right"/>
              <w:spacing w:after="0"/>
              <w:rPr>
                <w:sz w:val="20"/>
                <w:szCs w:val="20"/>
                <w:color w:val="auto"/>
              </w:rPr>
            </w:pPr>
            <w:r>
              <w:rPr>
                <w:rFonts w:ascii="Arial" w:cs="Arial" w:eastAsia="Arial" w:hAnsi="Arial"/>
                <w:sz w:val="20"/>
                <w:szCs w:val="20"/>
                <w:color w:val="auto"/>
              </w:rPr>
              <w:t>____ to 1.00</w:t>
            </w:r>
          </w:p>
        </w:tc>
      </w:tr>
      <w:tr>
        <w:trPr>
          <w:trHeight w:val="588"/>
        </w:trPr>
        <w:tc>
          <w:tcPr>
            <w:tcW w:w="6940" w:type="dxa"/>
            <w:vAlign w:val="bottom"/>
          </w:tcPr>
          <w:p>
            <w:pPr>
              <w:ind w:left="20"/>
              <w:spacing w:after="0"/>
              <w:rPr>
                <w:sz w:val="20"/>
                <w:szCs w:val="20"/>
                <w:color w:val="auto"/>
              </w:rPr>
            </w:pPr>
            <w:r>
              <w:rPr>
                <w:rFonts w:ascii="Arial" w:cs="Arial" w:eastAsia="Arial" w:hAnsi="Arial"/>
                <w:sz w:val="20"/>
                <w:szCs w:val="20"/>
                <w:color w:val="auto"/>
              </w:rPr>
              <w:t>Minimum Required Fixed Charge Coverage Ratio:</w:t>
            </w:r>
          </w:p>
        </w:tc>
        <w:tc>
          <w:tcPr>
            <w:tcW w:w="1380" w:type="dxa"/>
            <w:vAlign w:val="bottom"/>
          </w:tcPr>
          <w:p>
            <w:pPr>
              <w:jc w:val="right"/>
              <w:spacing w:after="0"/>
              <w:rPr>
                <w:sz w:val="20"/>
                <w:szCs w:val="20"/>
                <w:color w:val="auto"/>
              </w:rPr>
            </w:pPr>
            <w:r>
              <w:rPr>
                <w:rFonts w:ascii="Arial" w:cs="Arial" w:eastAsia="Arial" w:hAnsi="Arial"/>
                <w:sz w:val="20"/>
                <w:szCs w:val="20"/>
                <w:color w:val="auto"/>
              </w:rPr>
              <w:t>1.50 to 1.00</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V. SECTION 10.9(e) – CONSOLIDATED UNSECURED INTEREST COVERAGE RATIO</w:t>
      </w:r>
    </w:p>
    <w:p>
      <w:pPr>
        <w:spacing w:after="0" w:line="297" w:lineRule="exact"/>
        <w:rPr>
          <w:sz w:val="20"/>
          <w:szCs w:val="20"/>
          <w:color w:val="auto"/>
        </w:rPr>
      </w:pPr>
    </w:p>
    <w:p>
      <w:pPr>
        <w:jc w:val="both"/>
        <w:ind w:left="1840" w:right="1439" w:hanging="927"/>
        <w:spacing w:after="0" w:line="275" w:lineRule="auto"/>
        <w:tabs>
          <w:tab w:leader="none" w:pos="18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Sum of Unencumbered Property NOI of each Unencumbered Eligible Property for the fiscal quarter ending on Statement Date (“Subject Period”)(see Annex II attached</w:t>
      </w:r>
    </w:p>
    <w:p>
      <w:pPr>
        <w:spacing w:after="0" w:line="1" w:lineRule="exact"/>
        <w:rPr>
          <w:sz w:val="20"/>
          <w:szCs w:val="20"/>
          <w:color w:val="auto"/>
        </w:rPr>
      </w:pPr>
    </w:p>
    <w:p>
      <w:pPr>
        <w:ind w:left="1840"/>
        <w:spacing w:after="0"/>
        <w:tabs>
          <w:tab w:leader="none" w:pos="8760" w:val="left"/>
        </w:tabs>
        <w:rPr>
          <w:sz w:val="20"/>
          <w:szCs w:val="20"/>
          <w:color w:val="auto"/>
        </w:rPr>
      </w:pPr>
      <w:r>
        <w:rPr>
          <w:rFonts w:ascii="Arial" w:cs="Arial" w:eastAsia="Arial" w:hAnsi="Arial"/>
          <w:sz w:val="20"/>
          <w:szCs w:val="20"/>
          <w:color w:val="auto"/>
        </w:rPr>
        <w:t>hereto for calculation):</w:t>
      </w:r>
      <w:r>
        <w:rPr>
          <w:sz w:val="20"/>
          <w:szCs w:val="20"/>
          <w:color w:val="auto"/>
        </w:rPr>
        <w:tab/>
      </w:r>
      <w:r>
        <w:rPr>
          <w:rFonts w:ascii="Arial" w:cs="Arial" w:eastAsia="Arial" w:hAnsi="Arial"/>
          <w:sz w:val="16"/>
          <w:szCs w:val="16"/>
          <w:color w:val="auto"/>
        </w:rPr>
        <w:t>$___________</w:t>
      </w:r>
    </w:p>
    <w:p>
      <w:pPr>
        <w:spacing w:after="0" w:line="389" w:lineRule="exact"/>
        <w:rPr>
          <w:sz w:val="20"/>
          <w:szCs w:val="20"/>
          <w:color w:val="auto"/>
        </w:rPr>
      </w:pPr>
    </w:p>
    <w:p>
      <w:pPr>
        <w:ind w:left="1840" w:hanging="927"/>
        <w:spacing w:after="0"/>
        <w:tabs>
          <w:tab w:leader="none" w:pos="184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Consolidated  Unsecured  Interest  Expense  for  Subject  Period  (the  portion  of</w:t>
      </w:r>
    </w:p>
    <w:p>
      <w:pPr>
        <w:sectPr>
          <w:pgSz w:w="11900" w:h="16838" w:orient="portrait"/>
          <w:cols w:equalWidth="0" w:num="1">
            <w:col w:w="10179"/>
          </w:cols>
          <w:pgMar w:left="280" w:top="960" w:right="1440" w:bottom="1440" w:gutter="0" w:footer="0" w:header="0"/>
        </w:sectPr>
      </w:pPr>
    </w:p>
    <w:p>
      <w:pPr>
        <w:spacing w:after="0" w:line="20" w:lineRule="exact"/>
        <w:rPr>
          <w:sz w:val="20"/>
          <w:szCs w:val="20"/>
          <w:color w:val="auto"/>
        </w:rPr>
      </w:pPr>
    </w:p>
    <w:p>
      <w:pPr>
        <w:jc w:val="both"/>
        <w:ind w:left="1840"/>
        <w:spacing w:after="0" w:line="239" w:lineRule="auto"/>
        <w:rPr>
          <w:sz w:val="20"/>
          <w:szCs w:val="20"/>
          <w:color w:val="auto"/>
        </w:rPr>
      </w:pPr>
      <w:r>
        <w:rPr>
          <w:rFonts w:ascii="Arial" w:cs="Arial" w:eastAsia="Arial" w:hAnsi="Arial"/>
          <w:sz w:val="20"/>
          <w:szCs w:val="20"/>
          <w:color w:val="auto"/>
        </w:rPr>
        <w:t>Consolidated Interest Expense for Subject Period that is incurred in respect of Unsecured Indebtedness of any member of the Consolidated Group or an Unconsolidated Affiliate):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264" w:lineRule="exact"/>
        <w:rPr>
          <w:sz w:val="20"/>
          <w:szCs w:val="20"/>
          <w:color w:val="auto"/>
        </w:rPr>
      </w:pPr>
    </w:p>
    <w:p>
      <w:pPr>
        <w:sectPr>
          <w:pgSz w:w="11900" w:h="16838" w:orient="portrait"/>
          <w:cols w:equalWidth="0" w:num="2">
            <w:col w:w="8720" w:space="60"/>
            <w:col w:w="1399"/>
          </w:cols>
          <w:pgMar w:left="280" w:top="960" w:right="1440" w:bottom="1440" w:gutter="0" w:footer="0" w:header="0"/>
          <w:type w:val="continuous"/>
        </w:sectPr>
      </w:pPr>
    </w:p>
    <w:p>
      <w:pPr>
        <w:spacing w:after="0" w:line="316"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- 6 -</w:t>
      </w:r>
    </w:p>
    <w:p>
      <w:pPr>
        <w:sectPr>
          <w:pgSz w:w="11900" w:h="16838" w:orient="portrait"/>
          <w:cols w:equalWidth="0" w:num="1">
            <w:col w:w="10179"/>
          </w:cols>
          <w:pgMar w:left="280" w:top="960" w:right="1440" w:bottom="1440" w:gutter="0" w:footer="0" w:header="0"/>
          <w:type w:val="continuous"/>
        </w:sectPr>
      </w:pPr>
    </w:p>
    <w:bookmarkStart w:id="251" w:name="page252"/>
    <w:bookmarkEnd w:id="251"/>
    <w:tbl>
      <w:tblPr>
        <w:tblLayout w:type="fixed"/>
        <w:tblInd w:w="40" w:type="dxa"/>
        <w:tblCellMar>
          <w:top w:w="0" w:type="dxa"/>
          <w:left w:w="0" w:type="dxa"/>
          <w:bottom w:w="0" w:type="dxa"/>
          <w:right w:w="0" w:type="dxa"/>
        </w:tblCellMar>
      </w:tblPr>
      <w:tr>
        <w:trPr>
          <w:trHeight w:val="297"/>
        </w:trPr>
        <w:tc>
          <w:tcPr>
            <w:tcW w:w="1460" w:type="dxa"/>
            <w:vAlign w:val="bottom"/>
          </w:tcPr>
          <w:p>
            <w:pPr>
              <w:spacing w:after="0"/>
              <w:rPr>
                <w:sz w:val="24"/>
                <w:szCs w:val="24"/>
                <w:color w:val="auto"/>
              </w:rPr>
            </w:pPr>
          </w:p>
        </w:tc>
        <w:tc>
          <w:tcPr>
            <w:tcW w:w="7300" w:type="dxa"/>
            <w:vAlign w:val="bottom"/>
          </w:tcPr>
          <w:p>
            <w:pPr>
              <w:ind w:left="380"/>
              <w:spacing w:after="0"/>
              <w:rPr>
                <w:sz w:val="20"/>
                <w:szCs w:val="20"/>
                <w:color w:val="auto"/>
              </w:rPr>
            </w:pPr>
            <w:r>
              <w:rPr>
                <w:rFonts w:ascii="Arial" w:cs="Arial" w:eastAsia="Arial" w:hAnsi="Arial"/>
                <w:sz w:val="20"/>
                <w:szCs w:val="20"/>
                <w:color w:val="auto"/>
              </w:rPr>
              <w:t xml:space="preserve">Consolidated Unsecured Interest Coverage Ratio (Line V.A. </w:t>
            </w:r>
            <w:r>
              <w:rPr>
                <w:rFonts w:ascii="Arial" w:cs="Arial" w:eastAsia="Arial" w:hAnsi="Arial"/>
                <w:sz w:val="21"/>
                <w:szCs w:val="21"/>
                <w:color w:val="auto"/>
              </w:rPr>
              <w:t>÷</w:t>
            </w:r>
            <w:r>
              <w:rPr>
                <w:rFonts w:ascii="Arial" w:cs="Arial" w:eastAsia="Arial" w:hAnsi="Arial"/>
                <w:sz w:val="20"/>
                <w:szCs w:val="20"/>
                <w:color w:val="auto"/>
              </w:rPr>
              <w:t xml:space="preserve"> Line V.B.):</w:t>
            </w:r>
          </w:p>
        </w:tc>
        <w:tc>
          <w:tcPr>
            <w:tcW w:w="1380" w:type="dxa"/>
            <w:vAlign w:val="bottom"/>
          </w:tcPr>
          <w:p>
            <w:pPr>
              <w:jc w:val="right"/>
              <w:spacing w:after="0"/>
              <w:rPr>
                <w:sz w:val="20"/>
                <w:szCs w:val="20"/>
                <w:color w:val="auto"/>
              </w:rPr>
            </w:pPr>
            <w:r>
              <w:rPr>
                <w:rFonts w:ascii="Arial" w:cs="Arial" w:eastAsia="Arial" w:hAnsi="Arial"/>
                <w:sz w:val="20"/>
                <w:szCs w:val="20"/>
                <w:color w:val="auto"/>
              </w:rPr>
              <w:t>____ to 1.00</w:t>
            </w:r>
          </w:p>
        </w:tc>
      </w:tr>
      <w:tr>
        <w:trPr>
          <w:trHeight w:val="588"/>
        </w:trPr>
        <w:tc>
          <w:tcPr>
            <w:tcW w:w="1460" w:type="dxa"/>
            <w:vAlign w:val="bottom"/>
          </w:tcPr>
          <w:p>
            <w:pPr>
              <w:spacing w:after="0"/>
              <w:rPr>
                <w:sz w:val="24"/>
                <w:szCs w:val="24"/>
                <w:color w:val="auto"/>
              </w:rPr>
            </w:pPr>
          </w:p>
        </w:tc>
        <w:tc>
          <w:tcPr>
            <w:tcW w:w="7300" w:type="dxa"/>
            <w:vAlign w:val="bottom"/>
          </w:tcPr>
          <w:p>
            <w:pPr>
              <w:ind w:left="380"/>
              <w:spacing w:after="0"/>
              <w:rPr>
                <w:sz w:val="20"/>
                <w:szCs w:val="20"/>
                <w:color w:val="auto"/>
              </w:rPr>
            </w:pPr>
            <w:r>
              <w:rPr>
                <w:rFonts w:ascii="Arial" w:cs="Arial" w:eastAsia="Arial" w:hAnsi="Arial"/>
                <w:sz w:val="20"/>
                <w:szCs w:val="20"/>
                <w:color w:val="auto"/>
              </w:rPr>
              <w:t>Minimum Required Consolidated Unsecured Interest Coverage:</w:t>
            </w:r>
          </w:p>
        </w:tc>
        <w:tc>
          <w:tcPr>
            <w:tcW w:w="1380" w:type="dxa"/>
            <w:vAlign w:val="bottom"/>
          </w:tcPr>
          <w:p>
            <w:pPr>
              <w:jc w:val="right"/>
              <w:spacing w:after="0"/>
              <w:rPr>
                <w:sz w:val="20"/>
                <w:szCs w:val="20"/>
                <w:color w:val="auto"/>
              </w:rPr>
            </w:pPr>
            <w:r>
              <w:rPr>
                <w:rFonts w:ascii="Arial" w:cs="Arial" w:eastAsia="Arial" w:hAnsi="Arial"/>
                <w:sz w:val="20"/>
                <w:szCs w:val="20"/>
                <w:color w:val="auto"/>
              </w:rPr>
              <w:t>1.75 to 1.00</w:t>
            </w:r>
          </w:p>
        </w:tc>
      </w:tr>
      <w:tr>
        <w:trPr>
          <w:trHeight w:val="797"/>
        </w:trPr>
        <w:tc>
          <w:tcPr>
            <w:tcW w:w="8760" w:type="dxa"/>
            <w:vAlign w:val="bottom"/>
            <w:gridSpan w:val="2"/>
          </w:tcPr>
          <w:p>
            <w:pPr>
              <w:spacing w:after="0"/>
              <w:rPr>
                <w:sz w:val="20"/>
                <w:szCs w:val="20"/>
                <w:color w:val="auto"/>
              </w:rPr>
            </w:pPr>
            <w:r>
              <w:rPr>
                <w:rFonts w:ascii="Arial" w:cs="Arial" w:eastAsia="Arial" w:hAnsi="Arial"/>
                <w:sz w:val="20"/>
                <w:szCs w:val="20"/>
                <w:color w:val="auto"/>
              </w:rPr>
              <w:t>VI. SECTION 10.9(f) – CONSOLIDATED UNSECURED LEVERAGE RATIO</w:t>
            </w:r>
          </w:p>
        </w:tc>
        <w:tc>
          <w:tcPr>
            <w:tcW w:w="1380" w:type="dxa"/>
            <w:vAlign w:val="bottom"/>
          </w:tcPr>
          <w:p>
            <w:pPr>
              <w:spacing w:after="0"/>
              <w:rPr>
                <w:sz w:val="24"/>
                <w:szCs w:val="24"/>
                <w:color w:val="auto"/>
              </w:rPr>
            </w:pPr>
          </w:p>
        </w:tc>
      </w:tr>
      <w:tr>
        <w:trPr>
          <w:trHeight w:val="527"/>
        </w:trPr>
        <w:tc>
          <w:tcPr>
            <w:tcW w:w="1460" w:type="dxa"/>
            <w:vAlign w:val="bottom"/>
          </w:tcPr>
          <w:p>
            <w:pPr>
              <w:ind w:left="920"/>
              <w:spacing w:after="0"/>
              <w:rPr>
                <w:sz w:val="20"/>
                <w:szCs w:val="20"/>
                <w:color w:val="auto"/>
              </w:rPr>
            </w:pPr>
            <w:r>
              <w:rPr>
                <w:rFonts w:ascii="Arial" w:cs="Arial" w:eastAsia="Arial" w:hAnsi="Arial"/>
                <w:sz w:val="20"/>
                <w:szCs w:val="20"/>
                <w:color w:val="auto"/>
              </w:rPr>
              <w:t>A.</w:t>
            </w:r>
          </w:p>
        </w:tc>
        <w:tc>
          <w:tcPr>
            <w:tcW w:w="7300" w:type="dxa"/>
            <w:vAlign w:val="bottom"/>
          </w:tcPr>
          <w:p>
            <w:pPr>
              <w:ind w:left="380"/>
              <w:spacing w:after="0"/>
              <w:rPr>
                <w:sz w:val="20"/>
                <w:szCs w:val="20"/>
                <w:color w:val="auto"/>
              </w:rPr>
            </w:pPr>
            <w:r>
              <w:rPr>
                <w:rFonts w:ascii="Arial" w:cs="Arial" w:eastAsia="Arial" w:hAnsi="Arial"/>
                <w:sz w:val="20"/>
                <w:szCs w:val="20"/>
                <w:color w:val="auto"/>
              </w:rPr>
              <w:t>Consolidated Total Unsecured Indebtedness at Statement Date:</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w w:val="89"/>
              </w:rPr>
              <w:t>$___________</w:t>
            </w:r>
          </w:p>
        </w:tc>
      </w:tr>
      <w:tr>
        <w:trPr>
          <w:trHeight w:val="641"/>
        </w:trPr>
        <w:tc>
          <w:tcPr>
            <w:tcW w:w="1460" w:type="dxa"/>
            <w:vAlign w:val="bottom"/>
          </w:tcPr>
          <w:p>
            <w:pPr>
              <w:spacing w:after="0"/>
              <w:rPr>
                <w:sz w:val="24"/>
                <w:szCs w:val="24"/>
                <w:color w:val="auto"/>
              </w:rPr>
            </w:pPr>
          </w:p>
        </w:tc>
        <w:tc>
          <w:tcPr>
            <w:tcW w:w="7300" w:type="dxa"/>
            <w:vAlign w:val="bottom"/>
          </w:tcPr>
          <w:p>
            <w:pPr>
              <w:ind w:left="360"/>
              <w:spacing w:after="0"/>
              <w:rPr>
                <w:sz w:val="20"/>
                <w:szCs w:val="20"/>
                <w:color w:val="auto"/>
              </w:rPr>
            </w:pPr>
            <w:r>
              <w:rPr>
                <w:rFonts w:ascii="Arial" w:cs="Arial" w:eastAsia="Arial" w:hAnsi="Arial"/>
                <w:sz w:val="20"/>
                <w:szCs w:val="20"/>
                <w:color w:val="auto"/>
                <w:w w:val="96"/>
              </w:rPr>
              <w:t>1. Aggregate amount of all Unsecured Indebtedness</w:t>
            </w:r>
            <w:r>
              <w:rPr>
                <w:rFonts w:ascii="Arial" w:cs="Arial" w:eastAsia="Arial" w:hAnsi="Arial"/>
                <w:sz w:val="25"/>
                <w:szCs w:val="25"/>
                <w:color w:val="auto"/>
                <w:w w:val="96"/>
                <w:vertAlign w:val="superscript"/>
              </w:rPr>
              <w:t>2</w:t>
            </w:r>
            <w:r>
              <w:rPr>
                <w:rFonts w:ascii="Arial" w:cs="Arial" w:eastAsia="Arial" w:hAnsi="Arial"/>
                <w:sz w:val="20"/>
                <w:szCs w:val="20"/>
                <w:color w:val="auto"/>
                <w:w w:val="96"/>
              </w:rPr>
              <w:t xml:space="preserve">  of the Consolidated Group</w:t>
            </w:r>
          </w:p>
        </w:tc>
        <w:tc>
          <w:tcPr>
            <w:tcW w:w="1380" w:type="dxa"/>
            <w:vAlign w:val="bottom"/>
          </w:tcPr>
          <w:p>
            <w:pPr>
              <w:spacing w:after="0"/>
              <w:rPr>
                <w:sz w:val="24"/>
                <w:szCs w:val="24"/>
                <w:color w:val="auto"/>
              </w:rPr>
            </w:pPr>
          </w:p>
        </w:tc>
      </w:tr>
      <w:tr>
        <w:trPr>
          <w:trHeight w:val="230"/>
        </w:trPr>
        <w:tc>
          <w:tcPr>
            <w:tcW w:w="1460" w:type="dxa"/>
            <w:vAlign w:val="bottom"/>
          </w:tcPr>
          <w:p>
            <w:pPr>
              <w:spacing w:after="0"/>
              <w:rPr>
                <w:sz w:val="19"/>
                <w:szCs w:val="19"/>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4"/>
              </w:rPr>
              <w:t>(including  Indebtedness  outstanding  under  the  Agreement)  that  would  be</w:t>
            </w:r>
          </w:p>
        </w:tc>
        <w:tc>
          <w:tcPr>
            <w:tcW w:w="1380" w:type="dxa"/>
            <w:vAlign w:val="bottom"/>
          </w:tcPr>
          <w:p>
            <w:pPr>
              <w:spacing w:after="0"/>
              <w:rPr>
                <w:sz w:val="19"/>
                <w:szCs w:val="19"/>
                <w:color w:val="auto"/>
              </w:rPr>
            </w:pPr>
          </w:p>
        </w:tc>
      </w:tr>
      <w:tr>
        <w:trPr>
          <w:trHeight w:val="230"/>
        </w:trPr>
        <w:tc>
          <w:tcPr>
            <w:tcW w:w="1460" w:type="dxa"/>
            <w:vAlign w:val="bottom"/>
          </w:tcPr>
          <w:p>
            <w:pPr>
              <w:spacing w:after="0"/>
              <w:rPr>
                <w:sz w:val="19"/>
                <w:szCs w:val="19"/>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9"/>
              </w:rPr>
              <w:t>reflected on a consolidated balance sheet of the Consolidated Group as of</w:t>
            </w:r>
          </w:p>
        </w:tc>
        <w:tc>
          <w:tcPr>
            <w:tcW w:w="1380" w:type="dxa"/>
            <w:vAlign w:val="bottom"/>
          </w:tcPr>
          <w:p>
            <w:pPr>
              <w:spacing w:after="0"/>
              <w:rPr>
                <w:sz w:val="19"/>
                <w:szCs w:val="19"/>
                <w:color w:val="auto"/>
              </w:rPr>
            </w:pPr>
          </w:p>
        </w:tc>
      </w:tr>
      <w:tr>
        <w:trPr>
          <w:trHeight w:val="250"/>
        </w:trPr>
        <w:tc>
          <w:tcPr>
            <w:tcW w:w="1460" w:type="dxa"/>
            <w:vAlign w:val="bottom"/>
          </w:tcPr>
          <w:p>
            <w:pPr>
              <w:spacing w:after="0"/>
              <w:rPr>
                <w:sz w:val="21"/>
                <w:szCs w:val="21"/>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Statement Date:</w:t>
            </w:r>
          </w:p>
        </w:tc>
        <w:tc>
          <w:tcPr>
            <w:tcW w:w="1380" w:type="dxa"/>
            <w:vAlign w:val="bottom"/>
          </w:tcPr>
          <w:p>
            <w:pPr>
              <w:spacing w:after="0"/>
              <w:rPr>
                <w:sz w:val="21"/>
                <w:szCs w:val="21"/>
                <w:color w:val="auto"/>
              </w:rPr>
            </w:pPr>
          </w:p>
        </w:tc>
      </w:tr>
      <w:tr>
        <w:trPr>
          <w:trHeight w:val="533"/>
        </w:trPr>
        <w:tc>
          <w:tcPr>
            <w:tcW w:w="1460" w:type="dxa"/>
            <w:vAlign w:val="bottom"/>
          </w:tcPr>
          <w:p>
            <w:pPr>
              <w:spacing w:after="0"/>
              <w:rPr>
                <w:sz w:val="24"/>
                <w:szCs w:val="24"/>
                <w:color w:val="auto"/>
              </w:rPr>
            </w:pPr>
          </w:p>
        </w:tc>
        <w:tc>
          <w:tcPr>
            <w:tcW w:w="7300" w:type="dxa"/>
            <w:vAlign w:val="bottom"/>
          </w:tcPr>
          <w:p>
            <w:pPr>
              <w:ind w:left="360"/>
              <w:spacing w:after="0"/>
              <w:rPr>
                <w:sz w:val="20"/>
                <w:szCs w:val="20"/>
                <w:color w:val="auto"/>
              </w:rPr>
            </w:pPr>
            <w:r>
              <w:rPr>
                <w:rFonts w:ascii="Arial" w:cs="Arial" w:eastAsia="Arial" w:hAnsi="Arial"/>
                <w:sz w:val="20"/>
                <w:szCs w:val="20"/>
                <w:color w:val="auto"/>
                <w:w w:val="96"/>
              </w:rPr>
              <w:t>2. Consolidated Group Pro Rata Share of the aggregate amount of all Unsecured</w:t>
            </w:r>
          </w:p>
        </w:tc>
        <w:tc>
          <w:tcPr>
            <w:tcW w:w="1380" w:type="dxa"/>
            <w:vAlign w:val="bottom"/>
          </w:tcPr>
          <w:p>
            <w:pPr>
              <w:spacing w:after="0"/>
              <w:rPr>
                <w:sz w:val="24"/>
                <w:szCs w:val="24"/>
                <w:color w:val="auto"/>
              </w:rPr>
            </w:pPr>
          </w:p>
        </w:tc>
      </w:tr>
      <w:tr>
        <w:trPr>
          <w:trHeight w:val="314"/>
        </w:trPr>
        <w:tc>
          <w:tcPr>
            <w:tcW w:w="1460" w:type="dxa"/>
            <w:vAlign w:val="bottom"/>
          </w:tcPr>
          <w:p>
            <w:pPr>
              <w:spacing w:after="0"/>
              <w:rPr>
                <w:sz w:val="24"/>
                <w:szCs w:val="24"/>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w w:val="99"/>
              </w:rPr>
              <w:t>Indebtedness of each Unconsolidated Affiliate that would be reflected on a</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w w:val="89"/>
              </w:rPr>
              <w:t>$___________</w:t>
            </w:r>
          </w:p>
        </w:tc>
      </w:tr>
      <w:tr>
        <w:trPr>
          <w:trHeight w:val="250"/>
        </w:trPr>
        <w:tc>
          <w:tcPr>
            <w:tcW w:w="1460" w:type="dxa"/>
            <w:vAlign w:val="bottom"/>
          </w:tcPr>
          <w:p>
            <w:pPr>
              <w:spacing w:after="0"/>
              <w:rPr>
                <w:sz w:val="21"/>
                <w:szCs w:val="21"/>
                <w:color w:val="auto"/>
              </w:rPr>
            </w:pPr>
          </w:p>
        </w:tc>
        <w:tc>
          <w:tcPr>
            <w:tcW w:w="7300" w:type="dxa"/>
            <w:vAlign w:val="bottom"/>
          </w:tcPr>
          <w:p>
            <w:pPr>
              <w:ind w:left="760"/>
              <w:spacing w:after="0"/>
              <w:rPr>
                <w:sz w:val="20"/>
                <w:szCs w:val="20"/>
                <w:color w:val="auto"/>
              </w:rPr>
            </w:pPr>
            <w:r>
              <w:rPr>
                <w:rFonts w:ascii="Arial" w:cs="Arial" w:eastAsia="Arial" w:hAnsi="Arial"/>
                <w:sz w:val="20"/>
                <w:szCs w:val="20"/>
                <w:color w:val="auto"/>
              </w:rPr>
              <w:t>balance sheet of such Unconsolidated Affiliate as of Statement Date:</w:t>
            </w:r>
          </w:p>
        </w:tc>
        <w:tc>
          <w:tcPr>
            <w:tcW w:w="1380" w:type="dxa"/>
            <w:vAlign w:val="bottom"/>
          </w:tcPr>
          <w:p>
            <w:pPr>
              <w:spacing w:after="0"/>
              <w:rPr>
                <w:sz w:val="21"/>
                <w:szCs w:val="21"/>
                <w:color w:val="auto"/>
              </w:rPr>
            </w:pPr>
          </w:p>
        </w:tc>
      </w:tr>
      <w:tr>
        <w:trPr>
          <w:trHeight w:val="469"/>
        </w:trPr>
        <w:tc>
          <w:tcPr>
            <w:tcW w:w="1460" w:type="dxa"/>
            <w:vAlign w:val="bottom"/>
          </w:tcPr>
          <w:p>
            <w:pPr>
              <w:spacing w:after="0"/>
              <w:rPr>
                <w:sz w:val="24"/>
                <w:szCs w:val="24"/>
                <w:color w:val="auto"/>
              </w:rPr>
            </w:pPr>
          </w:p>
        </w:tc>
        <w:tc>
          <w:tcPr>
            <w:tcW w:w="7300" w:type="dxa"/>
            <w:vAlign w:val="bottom"/>
          </w:tcPr>
          <w:p>
            <w:pPr>
              <w:ind w:left="360"/>
              <w:spacing w:after="0"/>
              <w:rPr>
                <w:sz w:val="20"/>
                <w:szCs w:val="20"/>
                <w:color w:val="auto"/>
              </w:rPr>
            </w:pPr>
            <w:r>
              <w:rPr>
                <w:rFonts w:ascii="Arial" w:cs="Arial" w:eastAsia="Arial" w:hAnsi="Arial"/>
                <w:sz w:val="20"/>
                <w:szCs w:val="20"/>
                <w:color w:val="auto"/>
              </w:rPr>
              <w:t>3. Consolidated Total Unsecured Indebtedness (Line VI.A.1 + Line VI.A.2.):</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w w:val="89"/>
              </w:rPr>
              <w:t>$___________</w:t>
            </w:r>
          </w:p>
        </w:tc>
      </w:tr>
      <w:tr>
        <w:trPr>
          <w:trHeight w:val="608"/>
        </w:trPr>
        <w:tc>
          <w:tcPr>
            <w:tcW w:w="1460" w:type="dxa"/>
            <w:vAlign w:val="bottom"/>
          </w:tcPr>
          <w:p>
            <w:pPr>
              <w:ind w:left="920"/>
              <w:spacing w:after="0"/>
              <w:rPr>
                <w:sz w:val="20"/>
                <w:szCs w:val="20"/>
                <w:color w:val="auto"/>
              </w:rPr>
            </w:pPr>
            <w:r>
              <w:rPr>
                <w:rFonts w:ascii="Arial" w:cs="Arial" w:eastAsia="Arial" w:hAnsi="Arial"/>
                <w:sz w:val="20"/>
                <w:szCs w:val="20"/>
                <w:color w:val="auto"/>
              </w:rPr>
              <w:t>B.</w:t>
            </w:r>
          </w:p>
        </w:tc>
        <w:tc>
          <w:tcPr>
            <w:tcW w:w="7300" w:type="dxa"/>
            <w:vAlign w:val="bottom"/>
          </w:tcPr>
          <w:p>
            <w:pPr>
              <w:ind w:left="380"/>
              <w:spacing w:after="0"/>
              <w:rPr>
                <w:sz w:val="20"/>
                <w:szCs w:val="20"/>
                <w:color w:val="auto"/>
              </w:rPr>
            </w:pPr>
            <w:r>
              <w:rPr>
                <w:rFonts w:ascii="Arial" w:cs="Arial" w:eastAsia="Arial" w:hAnsi="Arial"/>
                <w:sz w:val="20"/>
                <w:szCs w:val="20"/>
                <w:color w:val="auto"/>
              </w:rPr>
              <w:t>Unrestricted Cash Amount at Statement Date (Line III.B.3.):</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w w:val="89"/>
              </w:rPr>
              <w:t>$___________</w:t>
            </w:r>
          </w:p>
        </w:tc>
      </w:tr>
    </w:tbl>
    <w:p>
      <w:pPr>
        <w:spacing w:after="0" w:line="384" w:lineRule="exact"/>
        <w:rPr>
          <w:sz w:val="20"/>
          <w:szCs w:val="20"/>
          <w:color w:val="auto"/>
        </w:rPr>
      </w:pPr>
    </w:p>
    <w:p>
      <w:pPr>
        <w:ind w:left="1880" w:hanging="927"/>
        <w:spacing w:after="0"/>
        <w:tabs>
          <w:tab w:leader="none" w:pos="188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Unencumbered Asset Value at Statement Date</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jc w:val="right"/>
        <w:ind w:left="2260" w:right="1880" w:hanging="402"/>
        <w:spacing w:after="0" w:line="238" w:lineRule="exact"/>
        <w:tabs>
          <w:tab w:leader="none" w:pos="206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Unencumbered Property NOI of each Unencumbered Eligible Property (excluding Disposed  Portfolio  Properties,  Newly</w:t>
      </w:r>
      <w:r>
        <w:rPr>
          <w:rFonts w:ascii="MS PGothic" w:cs="MS PGothic" w:eastAsia="MS PGothic" w:hAnsi="MS PGothic"/>
          <w:sz w:val="18"/>
          <w:szCs w:val="18"/>
          <w:color w:val="auto"/>
        </w:rPr>
        <w:t>‑</w:t>
      </w:r>
      <w:r>
        <w:rPr>
          <w:rFonts w:ascii="Arial" w:cs="Arial" w:eastAsia="Arial" w:hAnsi="Arial"/>
          <w:sz w:val="18"/>
          <w:szCs w:val="18"/>
          <w:color w:val="auto"/>
        </w:rPr>
        <w:t>Acquired  Portfolio  Properties  and</w:t>
      </w:r>
    </w:p>
    <w:tbl>
      <w:tblPr>
        <w:tblLayout w:type="fixed"/>
        <w:tblInd w:w="1860" w:type="dxa"/>
        <w:tblCellMar>
          <w:top w:w="0" w:type="dxa"/>
          <w:left w:w="0" w:type="dxa"/>
          <w:bottom w:w="0" w:type="dxa"/>
          <w:right w:w="0" w:type="dxa"/>
        </w:tblCellMar>
      </w:tblPr>
      <w:tr>
        <w:trPr>
          <w:trHeight w:val="214"/>
        </w:trPr>
        <w:tc>
          <w:tcPr>
            <w:tcW w:w="180" w:type="dxa"/>
            <w:vAlign w:val="bottom"/>
          </w:tcPr>
          <w:p>
            <w:pPr>
              <w:spacing w:after="0"/>
              <w:rPr>
                <w:sz w:val="18"/>
                <w:szCs w:val="18"/>
                <w:color w:val="auto"/>
              </w:rPr>
            </w:pPr>
          </w:p>
        </w:tc>
        <w:tc>
          <w:tcPr>
            <w:tcW w:w="6760" w:type="dxa"/>
            <w:vAlign w:val="bottom"/>
          </w:tcPr>
          <w:p>
            <w:pPr>
              <w:ind w:left="220"/>
              <w:spacing w:after="0" w:line="214" w:lineRule="exact"/>
              <w:rPr>
                <w:sz w:val="20"/>
                <w:szCs w:val="20"/>
                <w:color w:val="auto"/>
              </w:rPr>
            </w:pPr>
            <w:r>
              <w:rPr>
                <w:rFonts w:ascii="Arial" w:cs="Arial" w:eastAsia="Arial" w:hAnsi="Arial"/>
                <w:sz w:val="20"/>
                <w:szCs w:val="20"/>
                <w:color w:val="auto"/>
                <w:w w:val="94"/>
              </w:rPr>
              <w:t>Non</w:t>
            </w:r>
            <w:r>
              <w:rPr>
                <w:rFonts w:ascii="MS PGothic" w:cs="MS PGothic" w:eastAsia="MS PGothic" w:hAnsi="MS PGothic"/>
                <w:sz w:val="20"/>
                <w:szCs w:val="20"/>
                <w:color w:val="auto"/>
                <w:w w:val="94"/>
              </w:rPr>
              <w:t>‑</w:t>
            </w:r>
            <w:r>
              <w:rPr>
                <w:rFonts w:ascii="Arial" w:cs="Arial" w:eastAsia="Arial" w:hAnsi="Arial"/>
                <w:sz w:val="20"/>
                <w:szCs w:val="20"/>
                <w:color w:val="auto"/>
                <w:w w:val="94"/>
              </w:rPr>
              <w:t>Stabilized Portfolio Properties) owned or ground leased under an Eligible</w:t>
            </w:r>
          </w:p>
        </w:tc>
        <w:tc>
          <w:tcPr>
            <w:tcW w:w="1220" w:type="dxa"/>
            <w:vAlign w:val="bottom"/>
          </w:tcPr>
          <w:p>
            <w:pPr>
              <w:spacing w:after="0"/>
              <w:rPr>
                <w:sz w:val="18"/>
                <w:szCs w:val="18"/>
                <w:color w:val="auto"/>
              </w:rPr>
            </w:pPr>
          </w:p>
        </w:tc>
      </w:tr>
      <w:tr>
        <w:trPr>
          <w:trHeight w:val="230"/>
        </w:trPr>
        <w:tc>
          <w:tcPr>
            <w:tcW w:w="18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Arial" w:cs="Arial" w:eastAsia="Arial" w:hAnsi="Arial"/>
                <w:sz w:val="20"/>
                <w:szCs w:val="20"/>
                <w:color w:val="auto"/>
                <w:w w:val="95"/>
              </w:rPr>
              <w:t>Ground Lease by the Consolidated Group for the fiscal quarter ending on the</w:t>
            </w:r>
          </w:p>
        </w:tc>
        <w:tc>
          <w:tcPr>
            <w:tcW w:w="1220" w:type="dxa"/>
            <w:vAlign w:val="bottom"/>
          </w:tcPr>
          <w:p>
            <w:pPr>
              <w:spacing w:after="0"/>
              <w:rPr>
                <w:sz w:val="19"/>
                <w:szCs w:val="19"/>
                <w:color w:val="auto"/>
              </w:rPr>
            </w:pPr>
          </w:p>
        </w:tc>
      </w:tr>
      <w:tr>
        <w:trPr>
          <w:trHeight w:val="314"/>
        </w:trPr>
        <w:tc>
          <w:tcPr>
            <w:tcW w:w="180" w:type="dxa"/>
            <w:vAlign w:val="bottom"/>
          </w:tcPr>
          <w:p>
            <w:pPr>
              <w:spacing w:after="0"/>
              <w:rPr>
                <w:sz w:val="24"/>
                <w:szCs w:val="24"/>
                <w:color w:val="auto"/>
              </w:rPr>
            </w:pPr>
          </w:p>
        </w:tc>
        <w:tc>
          <w:tcPr>
            <w:tcW w:w="6760" w:type="dxa"/>
            <w:vAlign w:val="bottom"/>
          </w:tcPr>
          <w:p>
            <w:pPr>
              <w:ind w:left="220"/>
              <w:spacing w:after="0"/>
              <w:rPr>
                <w:sz w:val="20"/>
                <w:szCs w:val="20"/>
                <w:color w:val="auto"/>
              </w:rPr>
            </w:pPr>
            <w:r>
              <w:rPr>
                <w:rFonts w:ascii="Arial" w:cs="Arial" w:eastAsia="Arial" w:hAnsi="Arial"/>
                <w:sz w:val="20"/>
                <w:szCs w:val="20"/>
                <w:color w:val="auto"/>
                <w:w w:val="92"/>
              </w:rPr>
              <w:t xml:space="preserve">Statement Date (“Subject Period”) </w:t>
            </w:r>
            <w:r>
              <w:rPr>
                <w:rFonts w:ascii="Arial" w:cs="Arial" w:eastAsia="Arial" w:hAnsi="Arial"/>
                <w:sz w:val="20"/>
                <w:szCs w:val="20"/>
                <w:i w:val="1"/>
                <w:iCs w:val="1"/>
                <w:color w:val="auto"/>
                <w:w w:val="92"/>
              </w:rPr>
              <w:t>divided by</w:t>
            </w:r>
            <w:r>
              <w:rPr>
                <w:rFonts w:ascii="Arial" w:cs="Arial" w:eastAsia="Arial" w:hAnsi="Arial"/>
                <w:sz w:val="20"/>
                <w:szCs w:val="20"/>
                <w:color w:val="auto"/>
                <w:w w:val="92"/>
              </w:rPr>
              <w:t xml:space="preserve"> the Applicable Capitalization Rate</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80" w:type="dxa"/>
            <w:vAlign w:val="bottom"/>
          </w:tcPr>
          <w:p>
            <w:pPr>
              <w:spacing w:after="0"/>
              <w:rPr>
                <w:sz w:val="21"/>
                <w:szCs w:val="21"/>
                <w:color w:val="auto"/>
              </w:rPr>
            </w:pPr>
          </w:p>
        </w:tc>
        <w:tc>
          <w:tcPr>
            <w:tcW w:w="6760" w:type="dxa"/>
            <w:vAlign w:val="bottom"/>
          </w:tcPr>
          <w:p>
            <w:pPr>
              <w:ind w:left="220"/>
              <w:spacing w:after="0"/>
              <w:rPr>
                <w:sz w:val="20"/>
                <w:szCs w:val="20"/>
                <w:color w:val="auto"/>
              </w:rPr>
            </w:pPr>
            <w:r>
              <w:rPr>
                <w:rFonts w:ascii="Arial" w:cs="Arial" w:eastAsia="Arial" w:hAnsi="Arial"/>
                <w:sz w:val="20"/>
                <w:szCs w:val="20"/>
                <w:color w:val="auto"/>
                <w:w w:val="92"/>
              </w:rPr>
              <w:t>for each such Unencumbered Eligible Property (See Annex III attached hereto):</w:t>
            </w:r>
          </w:p>
        </w:tc>
        <w:tc>
          <w:tcPr>
            <w:tcW w:w="1220" w:type="dxa"/>
            <w:vAlign w:val="bottom"/>
          </w:tcPr>
          <w:p>
            <w:pPr>
              <w:spacing w:after="0"/>
              <w:rPr>
                <w:sz w:val="21"/>
                <w:szCs w:val="21"/>
                <w:color w:val="auto"/>
              </w:rPr>
            </w:pPr>
          </w:p>
        </w:tc>
      </w:tr>
      <w:tr>
        <w:trPr>
          <w:trHeight w:val="449"/>
        </w:trPr>
        <w:tc>
          <w:tcPr>
            <w:tcW w:w="180" w:type="dxa"/>
            <w:vAlign w:val="bottom"/>
          </w:tcPr>
          <w:p>
            <w:pPr>
              <w:jc w:val="right"/>
              <w:spacing w:after="0"/>
              <w:rPr>
                <w:sz w:val="20"/>
                <w:szCs w:val="20"/>
                <w:color w:val="auto"/>
              </w:rPr>
            </w:pPr>
            <w:r>
              <w:rPr>
                <w:rFonts w:ascii="Arial" w:cs="Arial" w:eastAsia="Arial" w:hAnsi="Arial"/>
                <w:sz w:val="20"/>
                <w:szCs w:val="20"/>
                <w:color w:val="auto"/>
                <w:w w:val="71"/>
              </w:rPr>
              <w:t>2.</w:t>
            </w:r>
          </w:p>
        </w:tc>
        <w:tc>
          <w:tcPr>
            <w:tcW w:w="6760" w:type="dxa"/>
            <w:vAlign w:val="bottom"/>
          </w:tcPr>
          <w:p>
            <w:pPr>
              <w:ind w:left="80"/>
              <w:spacing w:after="0"/>
              <w:rPr>
                <w:sz w:val="20"/>
                <w:szCs w:val="20"/>
                <w:color w:val="auto"/>
              </w:rPr>
            </w:pPr>
            <w:r>
              <w:rPr>
                <w:rFonts w:ascii="Arial" w:cs="Arial" w:eastAsia="Arial" w:hAnsi="Arial"/>
                <w:sz w:val="20"/>
                <w:szCs w:val="20"/>
                <w:color w:val="auto"/>
              </w:rPr>
              <w:t>Undepreciated book value of all Unencumbered Eligible Properties that are</w:t>
            </w:r>
          </w:p>
        </w:tc>
        <w:tc>
          <w:tcPr>
            <w:tcW w:w="1220" w:type="dxa"/>
            <w:vAlign w:val="bottom"/>
          </w:tcPr>
          <w:p>
            <w:pPr>
              <w:spacing w:after="0"/>
              <w:rPr>
                <w:sz w:val="24"/>
                <w:szCs w:val="24"/>
                <w:color w:val="auto"/>
              </w:rPr>
            </w:pPr>
          </w:p>
        </w:tc>
      </w:tr>
      <w:tr>
        <w:trPr>
          <w:trHeight w:val="314"/>
        </w:trPr>
        <w:tc>
          <w:tcPr>
            <w:tcW w:w="180" w:type="dxa"/>
            <w:vAlign w:val="bottom"/>
          </w:tcPr>
          <w:p>
            <w:pPr>
              <w:spacing w:after="0"/>
              <w:rPr>
                <w:sz w:val="24"/>
                <w:szCs w:val="24"/>
                <w:color w:val="auto"/>
              </w:rPr>
            </w:pPr>
          </w:p>
        </w:tc>
        <w:tc>
          <w:tcPr>
            <w:tcW w:w="6760" w:type="dxa"/>
            <w:vAlign w:val="bottom"/>
          </w:tcPr>
          <w:p>
            <w:pPr>
              <w:ind w:left="220"/>
              <w:spacing w:after="0" w:line="230" w:lineRule="exact"/>
              <w:rPr>
                <w:sz w:val="20"/>
                <w:szCs w:val="20"/>
                <w:color w:val="auto"/>
              </w:rPr>
            </w:pPr>
            <w:r>
              <w:rPr>
                <w:rFonts w:ascii="Arial" w:cs="Arial" w:eastAsia="Arial" w:hAnsi="Arial"/>
                <w:sz w:val="20"/>
                <w:szCs w:val="20"/>
                <w:color w:val="auto"/>
                <w:w w:val="95"/>
              </w:rPr>
              <w:t>Qualified Development Properties or Non</w:t>
            </w:r>
            <w:r>
              <w:rPr>
                <w:rFonts w:ascii="MS PGothic" w:cs="MS PGothic" w:eastAsia="MS PGothic" w:hAnsi="MS PGothic"/>
                <w:sz w:val="20"/>
                <w:szCs w:val="20"/>
                <w:color w:val="auto"/>
                <w:w w:val="95"/>
              </w:rPr>
              <w:t>‑</w:t>
            </w:r>
            <w:r>
              <w:rPr>
                <w:rFonts w:ascii="Arial" w:cs="Arial" w:eastAsia="Arial" w:hAnsi="Arial"/>
                <w:sz w:val="20"/>
                <w:szCs w:val="20"/>
                <w:color w:val="auto"/>
                <w:w w:val="95"/>
              </w:rPr>
              <w:t>Stabilized Properties (see Annex III</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80" w:type="dxa"/>
            <w:vAlign w:val="bottom"/>
          </w:tcPr>
          <w:p>
            <w:pPr>
              <w:spacing w:after="0"/>
              <w:rPr>
                <w:sz w:val="21"/>
                <w:szCs w:val="21"/>
                <w:color w:val="auto"/>
              </w:rPr>
            </w:pPr>
          </w:p>
        </w:tc>
        <w:tc>
          <w:tcPr>
            <w:tcW w:w="6760" w:type="dxa"/>
            <w:vAlign w:val="bottom"/>
          </w:tcPr>
          <w:p>
            <w:pPr>
              <w:ind w:left="220"/>
              <w:spacing w:after="0"/>
              <w:rPr>
                <w:sz w:val="20"/>
                <w:szCs w:val="20"/>
                <w:color w:val="auto"/>
              </w:rPr>
            </w:pPr>
            <w:r>
              <w:rPr>
                <w:rFonts w:ascii="Arial" w:cs="Arial" w:eastAsia="Arial" w:hAnsi="Arial"/>
                <w:sz w:val="20"/>
                <w:szCs w:val="20"/>
                <w:color w:val="auto"/>
              </w:rPr>
              <w:t>attached hereto):</w:t>
            </w:r>
          </w:p>
        </w:tc>
        <w:tc>
          <w:tcPr>
            <w:tcW w:w="1220" w:type="dxa"/>
            <w:vAlign w:val="bottom"/>
          </w:tcPr>
          <w:p>
            <w:pPr>
              <w:spacing w:after="0"/>
              <w:rPr>
                <w:sz w:val="21"/>
                <w:szCs w:val="21"/>
                <w:color w:val="auto"/>
              </w:rPr>
            </w:pPr>
          </w:p>
        </w:tc>
      </w:tr>
      <w:tr>
        <w:trPr>
          <w:trHeight w:val="533"/>
        </w:trPr>
        <w:tc>
          <w:tcPr>
            <w:tcW w:w="180" w:type="dxa"/>
            <w:vAlign w:val="bottom"/>
          </w:tcPr>
          <w:p>
            <w:pPr>
              <w:jc w:val="right"/>
              <w:spacing w:after="0"/>
              <w:rPr>
                <w:sz w:val="20"/>
                <w:szCs w:val="20"/>
                <w:color w:val="auto"/>
              </w:rPr>
            </w:pPr>
            <w:r>
              <w:rPr>
                <w:rFonts w:ascii="Arial" w:cs="Arial" w:eastAsia="Arial" w:hAnsi="Arial"/>
                <w:sz w:val="20"/>
                <w:szCs w:val="20"/>
                <w:color w:val="auto"/>
                <w:w w:val="71"/>
              </w:rPr>
              <w:t>3.</w:t>
            </w:r>
          </w:p>
        </w:tc>
        <w:tc>
          <w:tcPr>
            <w:tcW w:w="6760" w:type="dxa"/>
            <w:vAlign w:val="bottom"/>
          </w:tcPr>
          <w:p>
            <w:pPr>
              <w:ind w:left="20"/>
              <w:spacing w:after="0"/>
              <w:rPr>
                <w:sz w:val="20"/>
                <w:szCs w:val="20"/>
                <w:color w:val="auto"/>
              </w:rPr>
            </w:pPr>
            <w:r>
              <w:rPr>
                <w:rFonts w:ascii="Arial" w:cs="Arial" w:eastAsia="Arial" w:hAnsi="Arial"/>
                <w:sz w:val="20"/>
                <w:szCs w:val="20"/>
                <w:color w:val="auto"/>
                <w:w w:val="92"/>
              </w:rPr>
              <w:t>Acquisition cost paid by Consolidated Group for Unencumbered Eligible Properties</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180" w:type="dxa"/>
            <w:vAlign w:val="bottom"/>
          </w:tcPr>
          <w:p>
            <w:pPr>
              <w:spacing w:after="0"/>
              <w:rPr>
                <w:sz w:val="21"/>
                <w:szCs w:val="21"/>
                <w:color w:val="auto"/>
              </w:rPr>
            </w:pPr>
          </w:p>
        </w:tc>
        <w:tc>
          <w:tcPr>
            <w:tcW w:w="6760" w:type="dxa"/>
            <w:vAlign w:val="bottom"/>
          </w:tcPr>
          <w:p>
            <w:pPr>
              <w:ind w:left="220"/>
              <w:spacing w:after="0" w:line="230" w:lineRule="exact"/>
              <w:rPr>
                <w:sz w:val="20"/>
                <w:szCs w:val="20"/>
                <w:color w:val="auto"/>
              </w:rPr>
            </w:pPr>
            <w:r>
              <w:rPr>
                <w:rFonts w:ascii="Arial" w:cs="Arial" w:eastAsia="Arial" w:hAnsi="Arial"/>
                <w:sz w:val="20"/>
                <w:szCs w:val="20"/>
                <w:color w:val="auto"/>
                <w:w w:val="96"/>
              </w:rPr>
              <w:t>that are Newly</w:t>
            </w:r>
            <w:r>
              <w:rPr>
                <w:rFonts w:ascii="MS PGothic" w:cs="MS PGothic" w:eastAsia="MS PGothic" w:hAnsi="MS PGothic"/>
                <w:sz w:val="20"/>
                <w:szCs w:val="20"/>
                <w:color w:val="auto"/>
                <w:w w:val="96"/>
              </w:rPr>
              <w:t>‑</w:t>
            </w:r>
            <w:r>
              <w:rPr>
                <w:rFonts w:ascii="Arial" w:cs="Arial" w:eastAsia="Arial" w:hAnsi="Arial"/>
                <w:sz w:val="20"/>
                <w:szCs w:val="20"/>
                <w:color w:val="auto"/>
                <w:w w:val="96"/>
              </w:rPr>
              <w:t>Acquired Portfolio Properties (See Annex III attached hereto):</w:t>
            </w:r>
          </w:p>
        </w:tc>
        <w:tc>
          <w:tcPr>
            <w:tcW w:w="1220" w:type="dxa"/>
            <w:vAlign w:val="bottom"/>
          </w:tcPr>
          <w:p>
            <w:pPr>
              <w:spacing w:after="0"/>
              <w:rPr>
                <w:sz w:val="21"/>
                <w:szCs w:val="21"/>
                <w:color w:val="auto"/>
              </w:rPr>
            </w:pPr>
          </w:p>
        </w:tc>
      </w:tr>
      <w:tr>
        <w:trPr>
          <w:trHeight w:val="469"/>
        </w:trPr>
        <w:tc>
          <w:tcPr>
            <w:tcW w:w="180" w:type="dxa"/>
            <w:vAlign w:val="bottom"/>
          </w:tcPr>
          <w:p>
            <w:pPr>
              <w:jc w:val="right"/>
              <w:spacing w:after="0"/>
              <w:rPr>
                <w:sz w:val="20"/>
                <w:szCs w:val="20"/>
                <w:color w:val="auto"/>
              </w:rPr>
            </w:pPr>
            <w:r>
              <w:rPr>
                <w:rFonts w:ascii="Arial" w:cs="Arial" w:eastAsia="Arial" w:hAnsi="Arial"/>
                <w:sz w:val="20"/>
                <w:szCs w:val="20"/>
                <w:color w:val="auto"/>
                <w:w w:val="71"/>
              </w:rPr>
              <w:t>4.</w:t>
            </w:r>
          </w:p>
        </w:tc>
        <w:tc>
          <w:tcPr>
            <w:tcW w:w="6760" w:type="dxa"/>
            <w:vAlign w:val="bottom"/>
          </w:tcPr>
          <w:p>
            <w:pPr>
              <w:ind w:left="20"/>
              <w:spacing w:after="0"/>
              <w:rPr>
                <w:sz w:val="20"/>
                <w:szCs w:val="20"/>
                <w:color w:val="auto"/>
              </w:rPr>
            </w:pPr>
            <w:r>
              <w:rPr>
                <w:rFonts w:ascii="Arial" w:cs="Arial" w:eastAsia="Arial" w:hAnsi="Arial"/>
                <w:sz w:val="20"/>
                <w:szCs w:val="20"/>
                <w:color w:val="auto"/>
              </w:rPr>
              <w:t>(Line VI.C.1. * 4) + Line VI.C.2. + Line VI.C.3.:</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51" w:lineRule="exact"/>
        <w:rPr>
          <w:sz w:val="20"/>
          <w:szCs w:val="20"/>
          <w:color w:val="auto"/>
        </w:rPr>
      </w:pPr>
    </w:p>
    <w:p>
      <w:pPr>
        <w:ind w:left="660" w:hanging="652"/>
        <w:spacing w:after="0"/>
        <w:tabs>
          <w:tab w:leader="none" w:pos="6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Unsecured Indebtedness" means, with respect to any Person, all Indebtedness of such Person that is not Secured Indebtedness.</w:t>
      </w:r>
    </w:p>
    <w:p>
      <w:pPr>
        <w:spacing w:after="0" w:line="311" w:lineRule="exact"/>
        <w:rPr>
          <w:rFonts w:ascii="Arial" w:cs="Arial" w:eastAsia="Arial" w:hAnsi="Arial"/>
          <w:sz w:val="16"/>
          <w:szCs w:val="16"/>
          <w:color w:val="auto"/>
        </w:rPr>
      </w:pPr>
    </w:p>
    <w:p>
      <w:pPr>
        <w:ind w:left="5660" w:hanging="126"/>
        <w:spacing w:after="0"/>
        <w:tabs>
          <w:tab w:leader="none" w:pos="5660" w:val="left"/>
        </w:tabs>
        <w:numPr>
          <w:ilvl w:val="1"/>
          <w:numId w:val="179"/>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0660"/>
          </w:cols>
          <w:pgMar w:left="240" w:top="933" w:right="999" w:bottom="1440" w:gutter="0" w:footer="0" w:header="0"/>
        </w:sectPr>
      </w:pPr>
    </w:p>
    <w:bookmarkStart w:id="252" w:name="page253"/>
    <w:bookmarkEnd w:id="252"/>
    <w:tbl>
      <w:tblPr>
        <w:tblLayout w:type="fixed"/>
        <w:tblInd w:w="1860" w:type="dxa"/>
        <w:tblCellMar>
          <w:top w:w="0" w:type="dxa"/>
          <w:left w:w="0" w:type="dxa"/>
          <w:bottom w:w="0" w:type="dxa"/>
          <w:right w:w="0" w:type="dxa"/>
        </w:tblCellMar>
      </w:tblPr>
      <w:tr>
        <w:trPr>
          <w:trHeight w:val="314"/>
        </w:trPr>
        <w:tc>
          <w:tcPr>
            <w:tcW w:w="6940" w:type="dxa"/>
            <w:vAlign w:val="bottom"/>
          </w:tcPr>
          <w:p>
            <w:pPr>
              <w:spacing w:after="0"/>
              <w:rPr>
                <w:sz w:val="20"/>
                <w:szCs w:val="20"/>
                <w:color w:val="auto"/>
              </w:rPr>
            </w:pPr>
            <w:r>
              <w:rPr>
                <w:rFonts w:ascii="Arial" w:cs="Arial" w:eastAsia="Arial" w:hAnsi="Arial"/>
                <w:sz w:val="20"/>
                <w:szCs w:val="20"/>
                <w:color w:val="auto"/>
                <w:w w:val="91"/>
              </w:rPr>
              <w:t>5. Percentage of Line VI.C.4. derived from Unencumbered Eligible Properties that are</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329"/>
        </w:trPr>
        <w:tc>
          <w:tcPr>
            <w:tcW w:w="6940" w:type="dxa"/>
            <w:vAlign w:val="bottom"/>
          </w:tcPr>
          <w:p>
            <w:pPr>
              <w:ind w:left="400"/>
              <w:spacing w:after="0" w:line="288" w:lineRule="exact"/>
              <w:rPr>
                <w:sz w:val="20"/>
                <w:szCs w:val="20"/>
                <w:color w:val="auto"/>
              </w:rPr>
            </w:pPr>
            <w:r>
              <w:rPr>
                <w:rFonts w:ascii="Arial" w:cs="Arial" w:eastAsia="Arial" w:hAnsi="Arial"/>
                <w:sz w:val="20"/>
                <w:szCs w:val="20"/>
                <w:color w:val="auto"/>
              </w:rPr>
              <w:t>not office, retail or multi</w:t>
            </w:r>
            <w:r>
              <w:rPr>
                <w:rFonts w:ascii="MS PGothic" w:cs="MS PGothic" w:eastAsia="MS PGothic" w:hAnsi="MS PGothic"/>
                <w:sz w:val="20"/>
                <w:szCs w:val="20"/>
                <w:color w:val="auto"/>
              </w:rPr>
              <w:t>‑</w:t>
            </w:r>
            <w:r>
              <w:rPr>
                <w:rFonts w:ascii="Arial" w:cs="Arial" w:eastAsia="Arial" w:hAnsi="Arial"/>
                <w:sz w:val="20"/>
                <w:szCs w:val="20"/>
                <w:color w:val="auto"/>
              </w:rPr>
              <w:t>family properties:</w:t>
            </w:r>
            <w:r>
              <w:rPr>
                <w:rFonts w:ascii="Arial" w:cs="Arial" w:eastAsia="Arial" w:hAnsi="Arial"/>
                <w:sz w:val="25"/>
                <w:szCs w:val="25"/>
                <w:color w:val="auto"/>
                <w:vertAlign w:val="superscript"/>
              </w:rPr>
              <w:t>3</w:t>
            </w:r>
          </w:p>
        </w:tc>
        <w:tc>
          <w:tcPr>
            <w:tcW w:w="1220" w:type="dxa"/>
            <w:vAlign w:val="bottom"/>
          </w:tcPr>
          <w:p>
            <w:pPr>
              <w:spacing w:after="0"/>
              <w:rPr>
                <w:sz w:val="24"/>
                <w:szCs w:val="24"/>
                <w:color w:val="auto"/>
              </w:rPr>
            </w:pPr>
          </w:p>
        </w:tc>
      </w:tr>
    </w:tbl>
    <w:p>
      <w:pPr>
        <w:spacing w:after="0" w:line="141" w:lineRule="exact"/>
        <w:rPr>
          <w:sz w:val="20"/>
          <w:szCs w:val="20"/>
          <w:color w:val="auto"/>
        </w:rPr>
      </w:pPr>
    </w:p>
    <w:p>
      <w:pPr>
        <w:sectPr>
          <w:pgSz w:w="11900" w:h="16838" w:orient="portrait"/>
          <w:cols w:equalWidth="0" w:num="1">
            <w:col w:w="11420"/>
          </w:cols>
          <w:pgMar w:left="240" w:top="1203" w:right="239" w:bottom="1440" w:gutter="0" w:footer="0" w:header="0"/>
        </w:sectPr>
      </w:pPr>
    </w:p>
    <w:p>
      <w:pPr>
        <w:ind w:left="2260" w:hanging="402"/>
        <w:spacing w:after="0" w:line="259" w:lineRule="auto"/>
        <w:tabs>
          <w:tab w:leader="none" w:pos="205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Percentage of Line VI.C.4. derived from Unencumbered Eligible Properties that are owned by a Controlled Joint Venture or ground leased under an Eligible Ground Lease:</w:t>
      </w:r>
      <w:r>
        <w:rPr>
          <w:rFonts w:ascii="Arial" w:cs="Arial" w:eastAsia="Arial" w:hAnsi="Arial"/>
          <w:sz w:val="25"/>
          <w:szCs w:val="25"/>
          <w:color w:val="auto"/>
          <w:vertAlign w:val="superscript"/>
        </w:rPr>
        <w:t>4</w:t>
      </w:r>
    </w:p>
    <w:p>
      <w:pPr>
        <w:spacing w:after="0" w:line="206" w:lineRule="exact"/>
        <w:rPr>
          <w:rFonts w:ascii="Arial" w:cs="Arial" w:eastAsia="Arial" w:hAnsi="Arial"/>
          <w:sz w:val="20"/>
          <w:szCs w:val="20"/>
          <w:color w:val="auto"/>
        </w:rPr>
      </w:pPr>
    </w:p>
    <w:p>
      <w:pPr>
        <w:ind w:left="2260" w:right="20" w:hanging="402"/>
        <w:spacing w:after="0" w:line="276" w:lineRule="auto"/>
        <w:tabs>
          <w:tab w:leader="none" w:pos="208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Percentage of Line VI.C.4. derived from Unencumbered Eligible Properties that constitute Qualified Development Properties:</w:t>
      </w:r>
      <w:r>
        <w:rPr>
          <w:rFonts w:ascii="Arial" w:cs="Arial" w:eastAsia="Arial" w:hAnsi="Arial"/>
          <w:sz w:val="25"/>
          <w:szCs w:val="25"/>
          <w:color w:val="auto"/>
          <w:vertAlign w:val="superscript"/>
        </w:rPr>
        <w:t>5</w:t>
      </w:r>
    </w:p>
    <w:p>
      <w:pPr>
        <w:spacing w:after="0" w:line="188" w:lineRule="exact"/>
        <w:rPr>
          <w:rFonts w:ascii="Arial" w:cs="Arial" w:eastAsia="Arial" w:hAnsi="Arial"/>
          <w:sz w:val="20"/>
          <w:szCs w:val="20"/>
          <w:color w:val="auto"/>
        </w:rPr>
      </w:pPr>
    </w:p>
    <w:p>
      <w:pPr>
        <w:ind w:left="2260" w:hanging="402"/>
        <w:spacing w:after="0" w:line="277" w:lineRule="auto"/>
        <w:tabs>
          <w:tab w:leader="none" w:pos="2053" w:val="left"/>
        </w:tabs>
        <w:numPr>
          <w:ilvl w:val="0"/>
          <w:numId w:val="180"/>
        </w:numPr>
        <w:rPr>
          <w:rFonts w:ascii="Arial" w:cs="Arial" w:eastAsia="Arial" w:hAnsi="Arial"/>
          <w:sz w:val="19"/>
          <w:szCs w:val="19"/>
          <w:color w:val="auto"/>
        </w:rPr>
      </w:pPr>
      <w:r>
        <w:rPr>
          <w:rFonts w:ascii="Arial" w:cs="Arial" w:eastAsia="Arial" w:hAnsi="Arial"/>
          <w:sz w:val="19"/>
          <w:szCs w:val="19"/>
          <w:color w:val="auto"/>
        </w:rPr>
        <w:t>Percentage of Line VI.C.4. derived from Unencumbered Eligible Properties that are owned by a Controlled Joint Venture or ground leased under an Eligible Ground Lease or that constitute Qualified Development Properties:</w:t>
      </w:r>
      <w:r>
        <w:rPr>
          <w:rFonts w:ascii="Arial" w:cs="Arial" w:eastAsia="Arial" w:hAnsi="Arial"/>
          <w:sz w:val="24"/>
          <w:szCs w:val="24"/>
          <w:color w:val="auto"/>
          <w:vertAlign w:val="superscript"/>
        </w:rPr>
        <w:t>6</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477" w:lineRule="exact"/>
        <w:rPr>
          <w:sz w:val="20"/>
          <w:szCs w:val="20"/>
          <w:color w:val="auto"/>
        </w:rPr>
      </w:pPr>
    </w:p>
    <w:p>
      <w:pPr>
        <w:sectPr>
          <w:pgSz w:w="11900" w:h="16838" w:orient="portrait"/>
          <w:cols w:equalWidth="0" w:num="2">
            <w:col w:w="8780" w:space="460"/>
            <w:col w:w="2180"/>
          </w:cols>
          <w:pgMar w:left="240" w:top="1203" w:right="239" w:bottom="1440" w:gutter="0" w:footer="0" w:header="0"/>
          <w:type w:val="continuous"/>
        </w:sectPr>
      </w:pPr>
    </w:p>
    <w:tbl>
      <w:tblPr>
        <w:tblLayout w:type="fixed"/>
        <w:tblInd w:w="1860" w:type="dxa"/>
        <w:tblCellMar>
          <w:top w:w="0" w:type="dxa"/>
          <w:left w:w="0" w:type="dxa"/>
          <w:bottom w:w="0" w:type="dxa"/>
          <w:right w:w="0" w:type="dxa"/>
        </w:tblCellMar>
      </w:tblPr>
      <w:tr>
        <w:trPr>
          <w:trHeight w:val="314"/>
        </w:trPr>
        <w:tc>
          <w:tcPr>
            <w:tcW w:w="6940" w:type="dxa"/>
            <w:vAlign w:val="bottom"/>
          </w:tcPr>
          <w:p>
            <w:pPr>
              <w:spacing w:after="0"/>
              <w:rPr>
                <w:sz w:val="20"/>
                <w:szCs w:val="20"/>
                <w:color w:val="auto"/>
              </w:rPr>
            </w:pPr>
            <w:r>
              <w:rPr>
                <w:rFonts w:ascii="Arial" w:cs="Arial" w:eastAsia="Arial" w:hAnsi="Arial"/>
                <w:sz w:val="20"/>
                <w:szCs w:val="20"/>
                <w:color w:val="auto"/>
                <w:w w:val="94"/>
              </w:rPr>
              <w:t>9. Adjustment (if any) to reflect limitations referenced in Lines VI.C.5., Line VI.C.6.,</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r>
        <w:trPr>
          <w:trHeight w:val="250"/>
        </w:trPr>
        <w:tc>
          <w:tcPr>
            <w:tcW w:w="6940" w:type="dxa"/>
            <w:vAlign w:val="bottom"/>
          </w:tcPr>
          <w:p>
            <w:pPr>
              <w:ind w:left="400"/>
              <w:spacing w:after="0"/>
              <w:rPr>
                <w:sz w:val="20"/>
                <w:szCs w:val="20"/>
                <w:color w:val="auto"/>
              </w:rPr>
            </w:pPr>
            <w:r>
              <w:rPr>
                <w:rFonts w:ascii="Arial" w:cs="Arial" w:eastAsia="Arial" w:hAnsi="Arial"/>
                <w:sz w:val="20"/>
                <w:szCs w:val="20"/>
                <w:color w:val="auto"/>
              </w:rPr>
              <w:t>Line VI.C.7. and Line VI.C.8.:</w:t>
            </w:r>
          </w:p>
        </w:tc>
        <w:tc>
          <w:tcPr>
            <w:tcW w:w="1220" w:type="dxa"/>
            <w:vAlign w:val="bottom"/>
          </w:tcPr>
          <w:p>
            <w:pPr>
              <w:spacing w:after="0"/>
              <w:rPr>
                <w:sz w:val="21"/>
                <w:szCs w:val="21"/>
                <w:color w:val="auto"/>
              </w:rPr>
            </w:pPr>
          </w:p>
        </w:tc>
      </w:tr>
      <w:tr>
        <w:trPr>
          <w:trHeight w:val="469"/>
        </w:trPr>
        <w:tc>
          <w:tcPr>
            <w:tcW w:w="6940" w:type="dxa"/>
            <w:vAlign w:val="bottom"/>
          </w:tcPr>
          <w:p>
            <w:pPr>
              <w:spacing w:after="0"/>
              <w:rPr>
                <w:sz w:val="20"/>
                <w:szCs w:val="20"/>
                <w:color w:val="auto"/>
              </w:rPr>
            </w:pPr>
            <w:r>
              <w:rPr>
                <w:rFonts w:ascii="Arial" w:cs="Arial" w:eastAsia="Arial" w:hAnsi="Arial"/>
                <w:sz w:val="20"/>
                <w:szCs w:val="20"/>
                <w:color w:val="auto"/>
              </w:rPr>
              <w:t>10. Unencumbered Asset Value: Line VI.C.4. - Line VI.C.9:</w:t>
            </w:r>
          </w:p>
        </w:tc>
        <w:tc>
          <w:tcPr>
            <w:tcW w:w="1220" w:type="dxa"/>
            <w:vAlign w:val="bottom"/>
          </w:tcPr>
          <w:p>
            <w:pPr>
              <w:jc w:val="right"/>
              <w:spacing w:after="0"/>
              <w:rPr>
                <w:sz w:val="20"/>
                <w:szCs w:val="20"/>
                <w:color w:val="auto"/>
              </w:rPr>
            </w:pPr>
            <w:r>
              <w:rPr>
                <w:rFonts w:ascii="Arial" w:cs="Arial" w:eastAsia="Arial" w:hAnsi="Arial"/>
                <w:sz w:val="20"/>
                <w:szCs w:val="20"/>
                <w:color w:val="auto"/>
                <w:w w:val="89"/>
              </w:rPr>
              <w:t>$___________</w:t>
            </w:r>
          </w:p>
        </w:tc>
      </w:tr>
    </w:tbl>
    <w:p>
      <w:pPr>
        <w:spacing w:after="0" w:line="357" w:lineRule="exact"/>
        <w:rPr>
          <w:sz w:val="20"/>
          <w:szCs w:val="20"/>
          <w:color w:val="auto"/>
        </w:rPr>
      </w:pPr>
    </w:p>
    <w:p>
      <w:pPr>
        <w:ind w:left="1880" w:hanging="927"/>
        <w:spacing w:after="0"/>
        <w:tabs>
          <w:tab w:leader="none" w:pos="188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Consolidated Total Unsecured Indebtedness minus Unrestricted Cash Amount (Line</w:t>
      </w:r>
    </w:p>
    <w:p>
      <w:pPr>
        <w:spacing w:after="0" w:line="16" w:lineRule="exact"/>
        <w:rPr>
          <w:sz w:val="20"/>
          <w:szCs w:val="20"/>
          <w:color w:val="auto"/>
        </w:rPr>
      </w:pPr>
    </w:p>
    <w:p>
      <w:pPr>
        <w:ind w:left="1880"/>
        <w:spacing w:after="0"/>
        <w:tabs>
          <w:tab w:leader="none" w:pos="8800" w:val="left"/>
        </w:tabs>
        <w:rPr>
          <w:sz w:val="20"/>
          <w:szCs w:val="20"/>
          <w:color w:val="auto"/>
        </w:rPr>
      </w:pPr>
      <w:r>
        <w:rPr>
          <w:rFonts w:ascii="Arial" w:cs="Arial" w:eastAsia="Arial" w:hAnsi="Arial"/>
          <w:sz w:val="20"/>
          <w:szCs w:val="20"/>
          <w:color w:val="auto"/>
        </w:rPr>
        <w:t>VI.A.3. – Line VI.B.):</w:t>
      </w:r>
      <w:r>
        <w:rPr>
          <w:sz w:val="20"/>
          <w:szCs w:val="20"/>
          <w:color w:val="auto"/>
        </w:rPr>
        <w:tab/>
      </w:r>
      <w:r>
        <w:rPr>
          <w:rFonts w:ascii="Arial" w:cs="Arial" w:eastAsia="Arial" w:hAnsi="Arial"/>
          <w:sz w:val="16"/>
          <w:szCs w:val="16"/>
          <w:color w:val="auto"/>
        </w:rPr>
        <w:t>$___________</w:t>
      </w:r>
    </w:p>
    <w:p>
      <w:pPr>
        <w:spacing w:after="0" w:line="389" w:lineRule="exact"/>
        <w:rPr>
          <w:sz w:val="20"/>
          <w:szCs w:val="20"/>
          <w:color w:val="auto"/>
        </w:rPr>
      </w:pPr>
    </w:p>
    <w:p>
      <w:pPr>
        <w:ind w:left="1880"/>
        <w:spacing w:after="0"/>
        <w:tabs>
          <w:tab w:leader="none" w:pos="9220" w:val="left"/>
        </w:tabs>
        <w:rPr>
          <w:sz w:val="20"/>
          <w:szCs w:val="20"/>
          <w:color w:val="auto"/>
        </w:rPr>
      </w:pPr>
      <w:r>
        <w:rPr>
          <w:rFonts w:ascii="Arial" w:cs="Arial" w:eastAsia="Arial" w:hAnsi="Arial"/>
          <w:sz w:val="20"/>
          <w:szCs w:val="20"/>
          <w:color w:val="auto"/>
        </w:rPr>
        <w:t>Consolidated Unsecured Leverage Ratio (Line VI.D. as a percentage of Line VI.C.10):</w:t>
      </w:r>
      <w:r>
        <w:rPr>
          <w:sz w:val="20"/>
          <w:szCs w:val="20"/>
          <w:color w:val="auto"/>
        </w:rPr>
        <w:tab/>
      </w:r>
      <w:r>
        <w:rPr>
          <w:rFonts w:ascii="Arial" w:cs="Arial" w:eastAsia="Arial" w:hAnsi="Arial"/>
          <w:sz w:val="16"/>
          <w:szCs w:val="16"/>
          <w:color w:val="auto"/>
        </w:rPr>
        <w:t>________%</w:t>
      </w:r>
    </w:p>
    <w:p>
      <w:pPr>
        <w:spacing w:after="0" w:line="200" w:lineRule="exact"/>
        <w:rPr>
          <w:sz w:val="20"/>
          <w:szCs w:val="20"/>
          <w:color w:val="auto"/>
        </w:rPr>
      </w:pPr>
    </w:p>
    <w:p>
      <w:pPr>
        <w:spacing w:after="0" w:line="205" w:lineRule="exact"/>
        <w:rPr>
          <w:sz w:val="20"/>
          <w:szCs w:val="20"/>
          <w:color w:val="auto"/>
        </w:rPr>
      </w:pPr>
    </w:p>
    <w:p>
      <w:pPr>
        <w:ind w:left="1880"/>
        <w:spacing w:after="0"/>
        <w:tabs>
          <w:tab w:leader="none" w:pos="8800" w:val="left"/>
        </w:tabs>
        <w:rPr>
          <w:sz w:val="20"/>
          <w:szCs w:val="20"/>
          <w:color w:val="auto"/>
        </w:rPr>
      </w:pPr>
      <w:r>
        <w:rPr>
          <w:rFonts w:ascii="Arial" w:cs="Arial" w:eastAsia="Arial" w:hAnsi="Arial"/>
          <w:sz w:val="20"/>
          <w:szCs w:val="20"/>
          <w:color w:val="auto"/>
        </w:rPr>
        <w:t>Maximum Permitted Consolidated Unsecured Leverage Ratio:</w:t>
      </w:r>
      <w:r>
        <w:rPr>
          <w:sz w:val="20"/>
          <w:szCs w:val="20"/>
          <w:color w:val="auto"/>
        </w:rPr>
        <w:tab/>
      </w:r>
      <w:r>
        <w:rPr>
          <w:rFonts w:ascii="Arial" w:cs="Arial" w:eastAsia="Arial" w:hAnsi="Arial"/>
          <w:sz w:val="16"/>
          <w:szCs w:val="16"/>
          <w:color w:val="auto"/>
        </w:rPr>
        <w:t>60%</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92" w:lineRule="exact"/>
        <w:rPr>
          <w:sz w:val="20"/>
          <w:szCs w:val="20"/>
          <w:color w:val="auto"/>
        </w:rPr>
      </w:pPr>
    </w:p>
    <w:p>
      <w:pPr>
        <w:jc w:val="both"/>
        <w:ind w:left="660" w:hanging="652"/>
        <w:spacing w:after="0" w:line="288" w:lineRule="auto"/>
        <w:tabs>
          <w:tab w:leader="none" w:pos="66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Not more than 20% of the UAV may be in respect of Unencumbered Eligible Properties that are not office, retail or multi-family properties (and, for purposes of determining compliance with such 20% limitation, if an Unencumbered Eligible Property is considered "multi-use", the Company shall be permitted to include the Unencumbered Property NOI of such Unencumbered Eligible Property's office, retail or multi-family component without limitation under this Line VI.C.5.)</w:t>
      </w:r>
    </w:p>
    <w:p>
      <w:pPr>
        <w:spacing w:after="0" w:line="220" w:lineRule="exact"/>
        <w:rPr>
          <w:sz w:val="20"/>
          <w:szCs w:val="20"/>
          <w:color w:val="auto"/>
        </w:rPr>
      </w:pPr>
    </w:p>
    <w:p>
      <w:pPr>
        <w:ind w:left="660" w:right="20" w:hanging="652"/>
        <w:spacing w:after="0" w:line="303" w:lineRule="auto"/>
        <w:tabs>
          <w:tab w:leader="none" w:pos="66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Not moe than 20% of the UAV may be in respect of Unencumbered Eligible Properties that are either owned by a Controlled Joint Venture or ground leased under an Eligible Ground Lease</w:t>
      </w:r>
    </w:p>
    <w:p>
      <w:pPr>
        <w:spacing w:after="0" w:line="203" w:lineRule="exact"/>
        <w:rPr>
          <w:sz w:val="20"/>
          <w:szCs w:val="20"/>
          <w:color w:val="auto"/>
        </w:rPr>
      </w:pPr>
    </w:p>
    <w:p>
      <w:pPr>
        <w:ind w:left="660" w:hanging="652"/>
        <w:spacing w:after="0" w:line="303" w:lineRule="auto"/>
        <w:tabs>
          <w:tab w:leader="none" w:pos="66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Not more than 10% of the UAV may be in respect of Unencumbered Eligible Properties that constitute Qualified Development Properties</w:t>
      </w:r>
    </w:p>
    <w:p>
      <w:pPr>
        <w:spacing w:after="0" w:line="203" w:lineRule="exact"/>
        <w:rPr>
          <w:sz w:val="20"/>
          <w:szCs w:val="20"/>
          <w:color w:val="auto"/>
        </w:rPr>
      </w:pPr>
    </w:p>
    <w:p>
      <w:pPr>
        <w:ind w:left="660" w:right="20" w:hanging="652"/>
        <w:spacing w:after="0" w:line="303" w:lineRule="auto"/>
        <w:tabs>
          <w:tab w:leader="none" w:pos="6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Not more than 20% of the UAV may be in respect of Unencumbered Eligible Properties that are owned by a Controlled Joint Venture or ground leased under an Eligible Ground Lease or that constitute Qualified Development Properties</w:t>
      </w:r>
    </w:p>
    <w:p>
      <w:pPr>
        <w:spacing w:after="0" w:line="200" w:lineRule="exact"/>
        <w:rPr>
          <w:rFonts w:ascii="Arial" w:cs="Arial" w:eastAsia="Arial" w:hAnsi="Arial"/>
          <w:sz w:val="20"/>
          <w:szCs w:val="20"/>
          <w:color w:val="auto"/>
        </w:rPr>
      </w:pPr>
    </w:p>
    <w:p>
      <w:pPr>
        <w:spacing w:after="0" w:line="295" w:lineRule="exact"/>
        <w:rPr>
          <w:rFonts w:ascii="Arial" w:cs="Arial" w:eastAsia="Arial" w:hAnsi="Arial"/>
          <w:sz w:val="20"/>
          <w:szCs w:val="20"/>
          <w:color w:val="auto"/>
        </w:rPr>
      </w:pPr>
    </w:p>
    <w:p>
      <w:pPr>
        <w:ind w:left="5660" w:hanging="126"/>
        <w:spacing w:after="0"/>
        <w:tabs>
          <w:tab w:leader="none" w:pos="566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1420"/>
          </w:cols>
          <w:pgMar w:left="240" w:top="1203" w:right="239" w:bottom="1440" w:gutter="0" w:footer="0" w:header="0"/>
          <w:type w:val="continuous"/>
        </w:sectPr>
      </w:pPr>
    </w:p>
    <w:bookmarkStart w:id="253" w:name="page254"/>
    <w:bookmarkEnd w:id="253"/>
    <w:p>
      <w:pPr>
        <w:ind w:left="40"/>
        <w:spacing w:after="0"/>
        <w:rPr>
          <w:sz w:val="20"/>
          <w:szCs w:val="20"/>
          <w:color w:val="auto"/>
        </w:rPr>
      </w:pPr>
      <w:r>
        <w:rPr>
          <w:rFonts w:ascii="Arial" w:cs="Arial" w:eastAsia="Arial" w:hAnsi="Arial"/>
          <w:sz w:val="20"/>
          <w:szCs w:val="20"/>
          <w:color w:val="auto"/>
        </w:rPr>
        <w:t>VII. PERMITTED INVESTMENTS</w:t>
      </w:r>
    </w:p>
    <w:p>
      <w:pPr>
        <w:spacing w:after="0" w:line="297"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Investments at Statement Date in:</w:t>
      </w:r>
    </w:p>
    <w:p>
      <w:pPr>
        <w:spacing w:after="0" w:line="200" w:lineRule="exact"/>
        <w:rPr>
          <w:sz w:val="20"/>
          <w:szCs w:val="20"/>
          <w:color w:val="auto"/>
        </w:rPr>
      </w:pPr>
    </w:p>
    <w:p>
      <w:pPr>
        <w:spacing w:after="0" w:line="227" w:lineRule="exact"/>
        <w:rPr>
          <w:sz w:val="20"/>
          <w:szCs w:val="20"/>
          <w:color w:val="auto"/>
        </w:rPr>
      </w:pPr>
    </w:p>
    <w:p>
      <w:pPr>
        <w:ind w:left="9020"/>
        <w:spacing w:after="0"/>
        <w:rPr>
          <w:sz w:val="20"/>
          <w:szCs w:val="20"/>
          <w:color w:val="auto"/>
        </w:rPr>
      </w:pPr>
      <w:r>
        <w:rPr>
          <w:rFonts w:ascii="Arial" w:cs="Arial" w:eastAsia="Arial" w:hAnsi="Arial"/>
          <w:sz w:val="19"/>
          <w:szCs w:val="19"/>
          <w:color w:val="auto"/>
        </w:rPr>
        <w:t>Actual Aggregate Amount</w:t>
      </w:r>
    </w:p>
    <w:p>
      <w:pPr>
        <w:spacing w:after="0" w:line="33" w:lineRule="exact"/>
        <w:rPr>
          <w:sz w:val="20"/>
          <w:szCs w:val="20"/>
          <w:color w:val="auto"/>
        </w:rPr>
      </w:pPr>
    </w:p>
    <w:p>
      <w:pPr>
        <w:ind w:left="4020"/>
        <w:spacing w:after="0"/>
        <w:tabs>
          <w:tab w:leader="none" w:pos="9380" w:val="left"/>
        </w:tabs>
        <w:rPr>
          <w:sz w:val="20"/>
          <w:szCs w:val="20"/>
          <w:color w:val="auto"/>
        </w:rPr>
      </w:pPr>
      <w:r>
        <w:rPr>
          <w:rFonts w:ascii="Arial" w:cs="Arial" w:eastAsia="Arial" w:hAnsi="Arial"/>
          <w:sz w:val="22"/>
          <w:szCs w:val="22"/>
          <w:color w:val="auto"/>
        </w:rPr>
        <w:t>Limitation under Section</w:t>
      </w:r>
      <w:r>
        <w:rPr>
          <w:sz w:val="20"/>
          <w:szCs w:val="20"/>
          <w:color w:val="auto"/>
        </w:rPr>
        <w:tab/>
      </w:r>
      <w:r>
        <w:rPr>
          <w:rFonts w:ascii="Arial" w:cs="Arial" w:eastAsia="Arial" w:hAnsi="Arial"/>
          <w:sz w:val="19"/>
          <w:szCs w:val="19"/>
          <w:color w:val="auto"/>
        </w:rPr>
        <w:t>of such Permitted</w:t>
      </w:r>
    </w:p>
    <w:p>
      <w:pPr>
        <w:ind w:left="660"/>
        <w:spacing w:after="0"/>
        <w:tabs>
          <w:tab w:leader="none" w:pos="4900" w:val="left"/>
          <w:tab w:leader="none" w:pos="6460" w:val="left"/>
          <w:tab w:leader="none" w:pos="9620" w:val="left"/>
        </w:tabs>
        <w:rPr>
          <w:sz w:val="20"/>
          <w:szCs w:val="20"/>
          <w:color w:val="auto"/>
        </w:rPr>
      </w:pPr>
      <w:r>
        <w:rPr>
          <w:rFonts w:ascii="Arial" w:cs="Arial" w:eastAsia="Arial" w:hAnsi="Arial"/>
          <w:sz w:val="22"/>
          <w:szCs w:val="22"/>
          <w:color w:val="auto"/>
        </w:rPr>
        <w:t>Type of Permitted Investment</w:t>
      </w:r>
      <w:r>
        <w:rPr>
          <w:sz w:val="20"/>
          <w:szCs w:val="20"/>
          <w:color w:val="auto"/>
        </w:rPr>
        <w:tab/>
      </w:r>
      <w:r>
        <w:rPr>
          <w:rFonts w:ascii="Arial" w:cs="Arial" w:eastAsia="Arial" w:hAnsi="Arial"/>
          <w:sz w:val="22"/>
          <w:szCs w:val="22"/>
          <w:color w:val="auto"/>
        </w:rPr>
        <w:t>10.6</w:t>
      </w:r>
      <w:r>
        <w:rPr>
          <w:sz w:val="20"/>
          <w:szCs w:val="20"/>
          <w:color w:val="auto"/>
        </w:rPr>
        <w:tab/>
      </w:r>
      <w:r>
        <w:rPr>
          <w:rFonts w:ascii="Arial" w:cs="Arial" w:eastAsia="Arial" w:hAnsi="Arial"/>
          <w:sz w:val="22"/>
          <w:szCs w:val="22"/>
          <w:color w:val="auto"/>
        </w:rPr>
        <w:t>Actual Percentage of TAV</w:t>
      </w:r>
      <w:r>
        <w:rPr>
          <w:sz w:val="20"/>
          <w:szCs w:val="20"/>
          <w:color w:val="auto"/>
        </w:rPr>
        <w:tab/>
      </w:r>
      <w:r>
        <w:rPr>
          <w:rFonts w:ascii="Arial" w:cs="Arial" w:eastAsia="Arial" w:hAnsi="Arial"/>
          <w:sz w:val="19"/>
          <w:szCs w:val="19"/>
          <w:color w:val="auto"/>
        </w:rPr>
        <w:t>Investments</w:t>
      </w:r>
    </w:p>
    <w:p>
      <w:pPr>
        <w:spacing w:after="0" w:line="242" w:lineRule="exact"/>
        <w:rPr>
          <w:sz w:val="20"/>
          <w:szCs w:val="20"/>
          <w:color w:val="auto"/>
        </w:rPr>
      </w:pPr>
    </w:p>
    <w:p>
      <w:pPr>
        <w:ind w:left="40"/>
        <w:spacing w:after="0"/>
        <w:tabs>
          <w:tab w:leader="none" w:pos="3900" w:val="left"/>
          <w:tab w:leader="none" w:pos="6300" w:val="left"/>
        </w:tabs>
        <w:rPr>
          <w:sz w:val="20"/>
          <w:szCs w:val="20"/>
          <w:color w:val="auto"/>
        </w:rPr>
      </w:pPr>
      <w:r>
        <w:rPr>
          <w:rFonts w:ascii="Arial" w:cs="Arial" w:eastAsia="Arial" w:hAnsi="Arial"/>
          <w:sz w:val="22"/>
          <w:szCs w:val="22"/>
          <w:color w:val="auto"/>
        </w:rPr>
        <w:t>The Aggregate Unconsolidated Affiliate</w:t>
      </w:r>
      <w:r>
        <w:rPr>
          <w:sz w:val="20"/>
          <w:szCs w:val="20"/>
          <w:color w:val="auto"/>
        </w:rPr>
        <w:tab/>
      </w:r>
      <w:r>
        <w:rPr>
          <w:rFonts w:ascii="Arial" w:cs="Arial" w:eastAsia="Arial" w:hAnsi="Arial"/>
          <w:sz w:val="22"/>
          <w:szCs w:val="22"/>
          <w:color w:val="auto"/>
        </w:rPr>
        <w:t>Not in excess of 20% of</w:t>
      </w:r>
      <w:r>
        <w:rPr>
          <w:sz w:val="20"/>
          <w:szCs w:val="20"/>
          <w:color w:val="auto"/>
        </w:rPr>
        <w:tab/>
      </w:r>
      <w:r>
        <w:rPr>
          <w:rFonts w:ascii="Arial" w:cs="Arial" w:eastAsia="Arial" w:hAnsi="Arial"/>
          <w:sz w:val="19"/>
          <w:szCs w:val="19"/>
          <w:color w:val="auto"/>
        </w:rPr>
        <w:t>_____% of Total Asset Value $___________</w:t>
      </w:r>
    </w:p>
    <w:p>
      <w:pPr>
        <w:ind w:left="40"/>
        <w:spacing w:after="0"/>
        <w:tabs>
          <w:tab w:leader="none" w:pos="3900" w:val="left"/>
        </w:tabs>
        <w:rPr>
          <w:sz w:val="20"/>
          <w:szCs w:val="20"/>
          <w:color w:val="auto"/>
        </w:rPr>
      </w:pPr>
      <w:r>
        <w:rPr>
          <w:rFonts w:ascii="Arial" w:cs="Arial" w:eastAsia="Arial" w:hAnsi="Arial"/>
          <w:sz w:val="22"/>
          <w:szCs w:val="22"/>
          <w:color w:val="auto"/>
        </w:rPr>
        <w:t>Investment Amount</w:t>
      </w:r>
      <w:r>
        <w:rPr>
          <w:sz w:val="20"/>
          <w:szCs w:val="20"/>
          <w:color w:val="auto"/>
        </w:rPr>
        <w:tab/>
      </w:r>
      <w:r>
        <w:rPr>
          <w:rFonts w:ascii="Arial" w:cs="Arial" w:eastAsia="Arial" w:hAnsi="Arial"/>
          <w:sz w:val="19"/>
          <w:szCs w:val="19"/>
          <w:color w:val="auto"/>
        </w:rPr>
        <w:t>the Total Asset Value</w:t>
      </w:r>
    </w:p>
    <w:p>
      <w:pPr>
        <w:ind w:left="3920"/>
        <w:spacing w:after="0"/>
        <w:rPr>
          <w:sz w:val="20"/>
          <w:szCs w:val="20"/>
          <w:color w:val="auto"/>
        </w:rPr>
      </w:pPr>
      <w:r>
        <w:rPr>
          <w:rFonts w:ascii="Arial" w:cs="Arial" w:eastAsia="Arial" w:hAnsi="Arial"/>
          <w:sz w:val="22"/>
          <w:szCs w:val="22"/>
          <w:color w:val="auto"/>
        </w:rPr>
        <w:t>[10.6(b)(iii)]</w:t>
      </w:r>
    </w:p>
    <w:p>
      <w:pPr>
        <w:spacing w:after="0" w:line="269" w:lineRule="exact"/>
        <w:rPr>
          <w:sz w:val="20"/>
          <w:szCs w:val="20"/>
          <w:color w:val="auto"/>
        </w:rPr>
      </w:pPr>
    </w:p>
    <w:p>
      <w:pPr>
        <w:ind w:left="40"/>
        <w:spacing w:after="0"/>
        <w:tabs>
          <w:tab w:leader="none" w:pos="6300" w:val="left"/>
          <w:tab w:leader="none" w:pos="8920" w:val="left"/>
        </w:tabs>
        <w:rPr>
          <w:sz w:val="20"/>
          <w:szCs w:val="20"/>
          <w:color w:val="auto"/>
        </w:rPr>
      </w:pPr>
      <w:r>
        <w:rPr>
          <w:rFonts w:ascii="Arial" w:cs="Arial" w:eastAsia="Arial" w:hAnsi="Arial"/>
          <w:sz w:val="22"/>
          <w:szCs w:val="22"/>
          <w:color w:val="auto"/>
        </w:rPr>
        <w:t>The Aggregate Non-Note Party Investment  Not in excess of 20% of</w:t>
        <w:tab/>
        <w:t>____% of Total Asset Value</w:t>
      </w:r>
      <w:r>
        <w:rPr>
          <w:sz w:val="20"/>
          <w:szCs w:val="20"/>
          <w:color w:val="auto"/>
        </w:rPr>
        <w:tab/>
      </w:r>
      <w:r>
        <w:rPr>
          <w:rFonts w:ascii="Arial" w:cs="Arial" w:eastAsia="Arial" w:hAnsi="Arial"/>
          <w:sz w:val="19"/>
          <w:szCs w:val="19"/>
          <w:color w:val="auto"/>
        </w:rPr>
        <w:t>$___________</w:t>
      </w:r>
    </w:p>
    <w:p>
      <w:pPr>
        <w:ind w:left="40"/>
        <w:spacing w:after="0"/>
        <w:tabs>
          <w:tab w:leader="none" w:pos="3900" w:val="left"/>
        </w:tabs>
        <w:rPr>
          <w:sz w:val="20"/>
          <w:szCs w:val="20"/>
          <w:color w:val="auto"/>
        </w:rPr>
      </w:pPr>
      <w:r>
        <w:rPr>
          <w:rFonts w:ascii="Arial" w:cs="Arial" w:eastAsia="Arial" w:hAnsi="Arial"/>
          <w:sz w:val="22"/>
          <w:szCs w:val="22"/>
          <w:color w:val="auto"/>
        </w:rPr>
        <w:t>Amount</w:t>
      </w:r>
      <w:r>
        <w:rPr>
          <w:rFonts w:ascii="Arial" w:cs="Arial" w:eastAsia="Arial" w:hAnsi="Arial"/>
          <w:sz w:val="28"/>
          <w:szCs w:val="28"/>
          <w:color w:val="auto"/>
          <w:vertAlign w:val="superscript"/>
        </w:rPr>
        <w:t>7</w:t>
      </w:r>
      <w:r>
        <w:rPr>
          <w:sz w:val="20"/>
          <w:szCs w:val="20"/>
          <w:color w:val="auto"/>
        </w:rPr>
        <w:tab/>
      </w:r>
      <w:r>
        <w:rPr>
          <w:rFonts w:ascii="Arial" w:cs="Arial" w:eastAsia="Arial" w:hAnsi="Arial"/>
          <w:sz w:val="19"/>
          <w:szCs w:val="19"/>
          <w:color w:val="auto"/>
        </w:rPr>
        <w:t>the Total Asset Value</w:t>
      </w:r>
    </w:p>
    <w:p>
      <w:pPr>
        <w:ind w:left="3920"/>
        <w:spacing w:after="0"/>
        <w:rPr>
          <w:sz w:val="20"/>
          <w:szCs w:val="20"/>
          <w:color w:val="auto"/>
        </w:rPr>
      </w:pPr>
      <w:r>
        <w:rPr>
          <w:rFonts w:ascii="Arial" w:cs="Arial" w:eastAsia="Arial" w:hAnsi="Arial"/>
          <w:sz w:val="22"/>
          <w:szCs w:val="22"/>
          <w:color w:val="auto"/>
        </w:rPr>
        <w:t>10.6(b)(iv)]</w:t>
      </w:r>
    </w:p>
    <w:p>
      <w:pPr>
        <w:sectPr>
          <w:pgSz w:w="11900" w:h="16838" w:orient="portrait"/>
          <w:cols w:equalWidth="0" w:num="1">
            <w:col w:w="11320"/>
          </w:cols>
          <w:pgMar w:left="240" w:top="960" w:right="339" w:bottom="1440" w:gutter="0" w:footer="0" w:header="0"/>
        </w:sectPr>
      </w:pPr>
    </w:p>
    <w:p>
      <w:pPr>
        <w:spacing w:after="0" w:line="269" w:lineRule="exact"/>
        <w:rPr>
          <w:sz w:val="20"/>
          <w:szCs w:val="20"/>
          <w:color w:val="auto"/>
        </w:rPr>
      </w:pPr>
    </w:p>
    <w:p>
      <w:pPr>
        <w:jc w:val="both"/>
        <w:ind w:left="40"/>
        <w:spacing w:after="0"/>
        <w:rPr>
          <w:sz w:val="20"/>
          <w:szCs w:val="20"/>
          <w:color w:val="auto"/>
        </w:rPr>
      </w:pPr>
      <w:r>
        <w:rPr>
          <w:rFonts w:ascii="Arial" w:cs="Arial" w:eastAsia="Arial" w:hAnsi="Arial"/>
          <w:sz w:val="22"/>
          <w:szCs w:val="22"/>
          <w:color w:val="auto"/>
        </w:rPr>
        <w:t>Unimproved land holdings [Aggregate Unimproved Land Holdings Investment Amount]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tabs>
          <w:tab w:leader="none" w:pos="5000" w:val="left"/>
        </w:tabs>
        <w:rPr>
          <w:sz w:val="20"/>
          <w:szCs w:val="20"/>
          <w:color w:val="auto"/>
        </w:rPr>
      </w:pPr>
      <w:r>
        <w:rPr>
          <w:rFonts w:ascii="Arial" w:cs="Arial" w:eastAsia="Arial" w:hAnsi="Arial"/>
          <w:sz w:val="22"/>
          <w:szCs w:val="22"/>
          <w:color w:val="auto"/>
        </w:rPr>
        <w:t>Not in excess of 5% of the ____% of Total Asset Value</w:t>
      </w:r>
      <w:r>
        <w:rPr>
          <w:sz w:val="20"/>
          <w:szCs w:val="20"/>
          <w:color w:val="auto"/>
        </w:rPr>
        <w:tab/>
      </w:r>
      <w:r>
        <w:rPr>
          <w:rFonts w:ascii="Arial" w:cs="Arial" w:eastAsia="Arial" w:hAnsi="Arial"/>
          <w:sz w:val="19"/>
          <w:szCs w:val="19"/>
          <w:color w:val="auto"/>
        </w:rPr>
        <w:t>$___________</w:t>
      </w:r>
    </w:p>
    <w:p>
      <w:pPr>
        <w:spacing w:after="0" w:line="238" w:lineRule="auto"/>
        <w:rPr>
          <w:sz w:val="20"/>
          <w:szCs w:val="20"/>
          <w:color w:val="auto"/>
        </w:rPr>
      </w:pPr>
      <w:r>
        <w:rPr>
          <w:rFonts w:ascii="Arial" w:cs="Arial" w:eastAsia="Arial" w:hAnsi="Arial"/>
          <w:sz w:val="22"/>
          <w:szCs w:val="22"/>
          <w:color w:val="auto"/>
        </w:rPr>
        <w:t>Total Asset Value</w:t>
      </w:r>
    </w:p>
    <w:p>
      <w:pPr>
        <w:spacing w:after="0"/>
        <w:rPr>
          <w:sz w:val="20"/>
          <w:szCs w:val="20"/>
          <w:color w:val="auto"/>
        </w:rPr>
      </w:pPr>
      <w:r>
        <w:rPr>
          <w:rFonts w:ascii="Arial" w:cs="Arial" w:eastAsia="Arial" w:hAnsi="Arial"/>
          <w:sz w:val="22"/>
          <w:szCs w:val="22"/>
          <w:color w:val="auto"/>
        </w:rPr>
        <w:t>[10.6(c)(i)]</w:t>
      </w:r>
    </w:p>
    <w:p>
      <w:pPr>
        <w:spacing w:after="0" w:line="201" w:lineRule="exact"/>
        <w:rPr>
          <w:sz w:val="20"/>
          <w:szCs w:val="20"/>
          <w:color w:val="auto"/>
        </w:rPr>
      </w:pPr>
    </w:p>
    <w:p>
      <w:pPr>
        <w:sectPr>
          <w:pgSz w:w="11900" w:h="16838" w:orient="portrait"/>
          <w:cols w:equalWidth="0" w:num="2">
            <w:col w:w="3480" w:space="440"/>
            <w:col w:w="7400"/>
          </w:cols>
          <w:pgMar w:left="240" w:top="960" w:right="339" w:bottom="1440" w:gutter="0" w:footer="0" w:header="0"/>
          <w:type w:val="continuous"/>
        </w:sectPr>
      </w:pPr>
    </w:p>
    <w:p>
      <w:pPr>
        <w:spacing w:after="0" w:line="311" w:lineRule="exact"/>
        <w:rPr>
          <w:sz w:val="20"/>
          <w:szCs w:val="20"/>
          <w:color w:val="auto"/>
        </w:rPr>
      </w:pPr>
    </w:p>
    <w:p>
      <w:pPr>
        <w:ind w:left="40"/>
        <w:spacing w:after="0"/>
        <w:tabs>
          <w:tab w:leader="none" w:pos="3900" w:val="left"/>
          <w:tab w:leader="none" w:pos="6300" w:val="left"/>
          <w:tab w:leader="none" w:pos="8920" w:val="left"/>
        </w:tabs>
        <w:rPr>
          <w:sz w:val="20"/>
          <w:szCs w:val="20"/>
          <w:color w:val="auto"/>
        </w:rPr>
      </w:pPr>
      <w:r>
        <w:rPr>
          <w:rFonts w:ascii="Arial" w:cs="Arial" w:eastAsia="Arial" w:hAnsi="Arial"/>
          <w:sz w:val="22"/>
          <w:szCs w:val="22"/>
          <w:color w:val="auto"/>
        </w:rPr>
        <w:t>Commercial mortgage loans and</w:t>
      </w:r>
      <w:r>
        <w:rPr>
          <w:sz w:val="20"/>
          <w:szCs w:val="20"/>
          <w:color w:val="auto"/>
        </w:rPr>
        <w:tab/>
      </w:r>
      <w:r>
        <w:rPr>
          <w:rFonts w:ascii="Arial" w:cs="Arial" w:eastAsia="Arial" w:hAnsi="Arial"/>
          <w:sz w:val="22"/>
          <w:szCs w:val="22"/>
          <w:color w:val="auto"/>
        </w:rPr>
        <w:t>Not in excess of 10% of</w:t>
        <w:tab/>
        <w:t>____% of Total Asset Value</w:t>
      </w:r>
      <w:r>
        <w:rPr>
          <w:sz w:val="20"/>
          <w:szCs w:val="20"/>
          <w:color w:val="auto"/>
        </w:rPr>
        <w:tab/>
      </w:r>
      <w:r>
        <w:rPr>
          <w:rFonts w:ascii="Arial" w:cs="Arial" w:eastAsia="Arial" w:hAnsi="Arial"/>
          <w:sz w:val="19"/>
          <w:szCs w:val="19"/>
          <w:color w:val="auto"/>
        </w:rPr>
        <w:t>$___________</w:t>
      </w:r>
    </w:p>
    <w:p>
      <w:pPr>
        <w:ind w:left="40"/>
        <w:spacing w:after="0"/>
        <w:tabs>
          <w:tab w:leader="none" w:pos="3900" w:val="left"/>
        </w:tabs>
        <w:rPr>
          <w:sz w:val="20"/>
          <w:szCs w:val="20"/>
          <w:color w:val="auto"/>
        </w:rPr>
      </w:pPr>
      <w:r>
        <w:rPr>
          <w:rFonts w:ascii="Arial" w:cs="Arial" w:eastAsia="Arial" w:hAnsi="Arial"/>
          <w:sz w:val="22"/>
          <w:szCs w:val="22"/>
          <w:color w:val="auto"/>
        </w:rPr>
        <w:t>commercial real estate-related mezzanine</w:t>
      </w:r>
      <w:r>
        <w:rPr>
          <w:sz w:val="20"/>
          <w:szCs w:val="20"/>
          <w:color w:val="auto"/>
        </w:rPr>
        <w:tab/>
      </w:r>
      <w:r>
        <w:rPr>
          <w:rFonts w:ascii="Arial" w:cs="Arial" w:eastAsia="Arial" w:hAnsi="Arial"/>
          <w:sz w:val="19"/>
          <w:szCs w:val="19"/>
          <w:color w:val="auto"/>
        </w:rPr>
        <w:t>the Total Asset Value</w:t>
      </w:r>
    </w:p>
    <w:p>
      <w:pPr>
        <w:ind w:left="40"/>
        <w:spacing w:after="0" w:line="230" w:lineRule="auto"/>
        <w:tabs>
          <w:tab w:leader="none" w:pos="3900" w:val="left"/>
        </w:tabs>
        <w:rPr>
          <w:sz w:val="20"/>
          <w:szCs w:val="20"/>
          <w:color w:val="auto"/>
        </w:rPr>
      </w:pPr>
      <w:r>
        <w:rPr>
          <w:rFonts w:ascii="Arial" w:cs="Arial" w:eastAsia="Arial" w:hAnsi="Arial"/>
          <w:sz w:val="22"/>
          <w:szCs w:val="22"/>
          <w:color w:val="auto"/>
        </w:rPr>
        <w:t>loan</w:t>
      </w:r>
      <w:r>
        <w:rPr>
          <w:sz w:val="20"/>
          <w:szCs w:val="20"/>
          <w:color w:val="auto"/>
        </w:rPr>
        <w:tab/>
      </w:r>
      <w:r>
        <w:rPr>
          <w:rFonts w:ascii="Arial" w:cs="Arial" w:eastAsia="Arial" w:hAnsi="Arial"/>
          <w:sz w:val="22"/>
          <w:szCs w:val="22"/>
          <w:color w:val="auto"/>
        </w:rPr>
        <w:t>[10.6(d)(i)]</w:t>
      </w:r>
    </w:p>
    <w:p>
      <w:pPr>
        <w:ind w:left="40"/>
        <w:spacing w:after="0" w:line="231" w:lineRule="auto"/>
        <w:rPr>
          <w:sz w:val="20"/>
          <w:szCs w:val="20"/>
          <w:color w:val="auto"/>
        </w:rPr>
      </w:pPr>
      <w:r>
        <w:rPr>
          <w:rFonts w:ascii="Arial" w:cs="Arial" w:eastAsia="Arial" w:hAnsi="Arial"/>
          <w:sz w:val="22"/>
          <w:szCs w:val="22"/>
          <w:color w:val="auto"/>
        </w:rPr>
        <w:t>[Aggregate Real Estate Loan Investment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Amount]</w:t>
      </w:r>
    </w:p>
    <w:p>
      <w:pPr>
        <w:sectPr>
          <w:pgSz w:w="11900" w:h="16838" w:orient="portrait"/>
          <w:cols w:equalWidth="0" w:num="1">
            <w:col w:w="11320"/>
          </w:cols>
          <w:pgMar w:left="240" w:top="960" w:right="339" w:bottom="1440" w:gutter="0" w:footer="0" w:header="0"/>
          <w:type w:val="continuous"/>
        </w:sectPr>
      </w:pPr>
    </w:p>
    <w:p>
      <w:pPr>
        <w:spacing w:after="0" w:line="269" w:lineRule="exact"/>
        <w:rPr>
          <w:sz w:val="20"/>
          <w:szCs w:val="20"/>
          <w:color w:val="auto"/>
        </w:rPr>
      </w:pPr>
    </w:p>
    <w:p>
      <w:pPr>
        <w:ind w:left="40"/>
        <w:spacing w:after="0" w:line="238" w:lineRule="auto"/>
        <w:rPr>
          <w:sz w:val="20"/>
          <w:szCs w:val="20"/>
          <w:color w:val="auto"/>
        </w:rPr>
      </w:pPr>
      <w:r>
        <w:rPr>
          <w:rFonts w:ascii="Arial" w:cs="Arial" w:eastAsia="Arial" w:hAnsi="Arial"/>
          <w:sz w:val="22"/>
          <w:szCs w:val="22"/>
          <w:color w:val="auto"/>
        </w:rPr>
        <w:t>Investments in respect of costs to construct Portfolio Properties under development [Aggregate Construction Costs Investment Amount]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tabs>
          <w:tab w:leader="none" w:pos="2380" w:val="left"/>
        </w:tabs>
        <w:rPr>
          <w:sz w:val="20"/>
          <w:szCs w:val="20"/>
          <w:color w:val="auto"/>
        </w:rPr>
      </w:pPr>
      <w:r>
        <w:rPr>
          <w:rFonts w:ascii="Arial" w:cs="Arial" w:eastAsia="Arial" w:hAnsi="Arial"/>
          <w:sz w:val="22"/>
          <w:szCs w:val="22"/>
          <w:color w:val="auto"/>
        </w:rPr>
        <w:t>Not in excess of 25% of</w:t>
      </w:r>
      <w:r>
        <w:rPr>
          <w:sz w:val="20"/>
          <w:szCs w:val="20"/>
          <w:color w:val="auto"/>
        </w:rPr>
        <w:tab/>
      </w:r>
      <w:r>
        <w:rPr>
          <w:rFonts w:ascii="Arial" w:cs="Arial" w:eastAsia="Arial" w:hAnsi="Arial"/>
          <w:sz w:val="19"/>
          <w:szCs w:val="19"/>
          <w:color w:val="auto"/>
        </w:rPr>
        <w:t>_____% of Total Asset Value $___________</w:t>
      </w:r>
    </w:p>
    <w:p>
      <w:pPr>
        <w:spacing w:after="0" w:line="238" w:lineRule="auto"/>
        <w:rPr>
          <w:sz w:val="20"/>
          <w:szCs w:val="20"/>
          <w:color w:val="auto"/>
        </w:rPr>
      </w:pPr>
      <w:r>
        <w:rPr>
          <w:rFonts w:ascii="Arial" w:cs="Arial" w:eastAsia="Arial" w:hAnsi="Arial"/>
          <w:sz w:val="22"/>
          <w:szCs w:val="22"/>
          <w:color w:val="auto"/>
        </w:rPr>
        <w:t>the Total Asset Value</w:t>
      </w:r>
    </w:p>
    <w:p>
      <w:pPr>
        <w:spacing w:after="0"/>
        <w:rPr>
          <w:sz w:val="20"/>
          <w:szCs w:val="20"/>
          <w:color w:val="auto"/>
        </w:rPr>
      </w:pPr>
      <w:r>
        <w:rPr>
          <w:rFonts w:ascii="Arial" w:cs="Arial" w:eastAsia="Arial" w:hAnsi="Arial"/>
          <w:sz w:val="22"/>
          <w:szCs w:val="22"/>
          <w:color w:val="auto"/>
        </w:rPr>
        <w:t>[10.6(e)]</w:t>
      </w:r>
    </w:p>
    <w:p>
      <w:pPr>
        <w:spacing w:after="0" w:line="1424" w:lineRule="exact"/>
        <w:rPr>
          <w:sz w:val="20"/>
          <w:szCs w:val="20"/>
          <w:color w:val="auto"/>
        </w:rPr>
      </w:pPr>
    </w:p>
    <w:p>
      <w:pPr>
        <w:sectPr>
          <w:pgSz w:w="11900" w:h="16838" w:orient="portrait"/>
          <w:cols w:equalWidth="0" w:num="2">
            <w:col w:w="3760" w:space="160"/>
            <w:col w:w="7400"/>
          </w:cols>
          <w:pgMar w:left="240" w:top="960" w:right="339" w:bottom="1440" w:gutter="0" w:footer="0" w:header="0"/>
          <w:type w:val="continuous"/>
        </w:sectPr>
      </w:pPr>
    </w:p>
    <w:p>
      <w:pPr>
        <w:spacing w:after="0" w:line="92"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 applicable after a Permitted Subsidiary Guarantor Release</w:t>
      </w:r>
    </w:p>
    <w:p>
      <w:pPr>
        <w:spacing w:after="0" w:line="200" w:lineRule="exact"/>
        <w:rPr>
          <w:rFonts w:ascii="Arial" w:cs="Arial" w:eastAsia="Arial" w:hAnsi="Arial"/>
          <w:sz w:val="18"/>
          <w:szCs w:val="18"/>
          <w:color w:val="auto"/>
        </w:rPr>
      </w:pPr>
    </w:p>
    <w:p>
      <w:pPr>
        <w:spacing w:after="0" w:line="317" w:lineRule="exact"/>
        <w:rPr>
          <w:rFonts w:ascii="Arial" w:cs="Arial" w:eastAsia="Arial" w:hAnsi="Arial"/>
          <w:sz w:val="18"/>
          <w:szCs w:val="18"/>
          <w:color w:val="auto"/>
        </w:rPr>
      </w:pPr>
    </w:p>
    <w:p>
      <w:pPr>
        <w:ind w:left="5660" w:hanging="126"/>
        <w:spacing w:after="0"/>
        <w:tabs>
          <w:tab w:leader="none" w:pos="566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9 -</w:t>
      </w:r>
    </w:p>
    <w:p>
      <w:pPr>
        <w:sectPr>
          <w:pgSz w:w="11900" w:h="16838" w:orient="portrait"/>
          <w:cols w:equalWidth="0" w:num="1">
            <w:col w:w="11320"/>
          </w:cols>
          <w:pgMar w:left="240" w:top="960" w:right="339" w:bottom="1440" w:gutter="0" w:footer="0" w:header="0"/>
          <w:type w:val="continuous"/>
        </w:sectPr>
      </w:pPr>
    </w:p>
    <w:bookmarkStart w:id="254" w:name="page255"/>
    <w:bookmarkEnd w:id="254"/>
    <w:p>
      <w:pPr>
        <w:ind w:left="9020"/>
        <w:spacing w:after="0"/>
        <w:rPr>
          <w:sz w:val="20"/>
          <w:szCs w:val="20"/>
          <w:color w:val="auto"/>
        </w:rPr>
      </w:pPr>
      <w:r>
        <w:rPr>
          <w:rFonts w:ascii="Arial" w:cs="Arial" w:eastAsia="Arial" w:hAnsi="Arial"/>
          <w:sz w:val="19"/>
          <w:szCs w:val="19"/>
          <w:color w:val="auto"/>
        </w:rPr>
        <w:t>Actual Aggregate Amount</w:t>
      </w:r>
    </w:p>
    <w:p>
      <w:pPr>
        <w:spacing w:after="0" w:line="33" w:lineRule="exact"/>
        <w:rPr>
          <w:sz w:val="20"/>
          <w:szCs w:val="20"/>
          <w:color w:val="auto"/>
        </w:rPr>
      </w:pPr>
    </w:p>
    <w:p>
      <w:pPr>
        <w:ind w:left="4020"/>
        <w:spacing w:after="0"/>
        <w:tabs>
          <w:tab w:leader="none" w:pos="9380" w:val="left"/>
        </w:tabs>
        <w:rPr>
          <w:sz w:val="20"/>
          <w:szCs w:val="20"/>
          <w:color w:val="auto"/>
        </w:rPr>
      </w:pPr>
      <w:r>
        <w:rPr>
          <w:rFonts w:ascii="Arial" w:cs="Arial" w:eastAsia="Arial" w:hAnsi="Arial"/>
          <w:sz w:val="22"/>
          <w:szCs w:val="22"/>
          <w:color w:val="auto"/>
        </w:rPr>
        <w:t>Limitation under Section</w:t>
      </w:r>
      <w:r>
        <w:rPr>
          <w:sz w:val="20"/>
          <w:szCs w:val="20"/>
          <w:color w:val="auto"/>
        </w:rPr>
        <w:tab/>
      </w:r>
      <w:r>
        <w:rPr>
          <w:rFonts w:ascii="Arial" w:cs="Arial" w:eastAsia="Arial" w:hAnsi="Arial"/>
          <w:sz w:val="19"/>
          <w:szCs w:val="19"/>
          <w:color w:val="auto"/>
        </w:rPr>
        <w:t>of such Permitted</w:t>
      </w:r>
    </w:p>
    <w:p>
      <w:pPr>
        <w:ind w:left="660"/>
        <w:spacing w:after="0"/>
        <w:tabs>
          <w:tab w:leader="none" w:pos="4900" w:val="left"/>
          <w:tab w:leader="none" w:pos="6460" w:val="left"/>
          <w:tab w:leader="none" w:pos="9620" w:val="left"/>
        </w:tabs>
        <w:rPr>
          <w:sz w:val="20"/>
          <w:szCs w:val="20"/>
          <w:color w:val="auto"/>
        </w:rPr>
      </w:pPr>
      <w:r>
        <w:rPr>
          <w:rFonts w:ascii="Arial" w:cs="Arial" w:eastAsia="Arial" w:hAnsi="Arial"/>
          <w:sz w:val="22"/>
          <w:szCs w:val="22"/>
          <w:color w:val="auto"/>
        </w:rPr>
        <w:t>Type of Permitted Investment</w:t>
      </w:r>
      <w:r>
        <w:rPr>
          <w:sz w:val="20"/>
          <w:szCs w:val="20"/>
          <w:color w:val="auto"/>
        </w:rPr>
        <w:tab/>
      </w:r>
      <w:r>
        <w:rPr>
          <w:rFonts w:ascii="Arial" w:cs="Arial" w:eastAsia="Arial" w:hAnsi="Arial"/>
          <w:sz w:val="22"/>
          <w:szCs w:val="22"/>
          <w:color w:val="auto"/>
        </w:rPr>
        <w:t>10.6</w:t>
      </w:r>
      <w:r>
        <w:rPr>
          <w:sz w:val="20"/>
          <w:szCs w:val="20"/>
          <w:color w:val="auto"/>
        </w:rPr>
        <w:tab/>
      </w:r>
      <w:r>
        <w:rPr>
          <w:rFonts w:ascii="Arial" w:cs="Arial" w:eastAsia="Arial" w:hAnsi="Arial"/>
          <w:sz w:val="22"/>
          <w:szCs w:val="22"/>
          <w:color w:val="auto"/>
        </w:rPr>
        <w:t>Actual Percentage of TAV</w:t>
      </w:r>
      <w:r>
        <w:rPr>
          <w:sz w:val="20"/>
          <w:szCs w:val="20"/>
          <w:color w:val="auto"/>
        </w:rPr>
        <w:tab/>
      </w:r>
      <w:r>
        <w:rPr>
          <w:rFonts w:ascii="Arial" w:cs="Arial" w:eastAsia="Arial" w:hAnsi="Arial"/>
          <w:sz w:val="19"/>
          <w:szCs w:val="19"/>
          <w:color w:val="auto"/>
        </w:rPr>
        <w:t>Investments</w:t>
      </w:r>
    </w:p>
    <w:p>
      <w:pPr>
        <w:sectPr>
          <w:pgSz w:w="11900" w:h="16838" w:orient="portrait"/>
          <w:cols w:equalWidth="0" w:num="1">
            <w:col w:w="11400"/>
          </w:cols>
          <w:pgMar w:left="240" w:top="821" w:right="259" w:bottom="1440" w:gutter="0" w:footer="0" w:header="0"/>
        </w:sectPr>
      </w:pPr>
    </w:p>
    <w:p>
      <w:pPr>
        <w:spacing w:after="0" w:line="242" w:lineRule="exact"/>
        <w:rPr>
          <w:sz w:val="20"/>
          <w:szCs w:val="20"/>
          <w:color w:val="auto"/>
        </w:rPr>
      </w:pPr>
    </w:p>
    <w:p>
      <w:pPr>
        <w:ind w:left="40"/>
        <w:spacing w:after="0" w:line="250" w:lineRule="auto"/>
        <w:rPr>
          <w:sz w:val="20"/>
          <w:szCs w:val="20"/>
          <w:color w:val="auto"/>
        </w:rPr>
      </w:pPr>
      <w:r>
        <w:rPr>
          <w:rFonts w:ascii="Arial" w:cs="Arial" w:eastAsia="Arial" w:hAnsi="Arial"/>
          <w:sz w:val="21"/>
          <w:szCs w:val="21"/>
          <w:color w:val="auto"/>
        </w:rPr>
        <w:t>The sum of the Aggregate Construction Costs Investment Amount, the Aggregate Real Estate Loan Investment Amount, the Aggregate Unimproved Land Holdings Investment Amount, the Aggregate Unconsolidated Affiliate Investment Amount and the Aggregate Non-Note Party Investment Amount</w:t>
      </w:r>
      <w:r>
        <w:rPr>
          <w:rFonts w:ascii="Arial" w:cs="Arial" w:eastAsia="Arial" w:hAnsi="Arial"/>
          <w:sz w:val="27"/>
          <w:szCs w:val="27"/>
          <w:color w:val="auto"/>
          <w:vertAlign w:val="superscript"/>
        </w:rPr>
        <w:t>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tabs>
          <w:tab w:leader="none" w:pos="2380" w:val="left"/>
        </w:tabs>
        <w:rPr>
          <w:sz w:val="20"/>
          <w:szCs w:val="20"/>
          <w:color w:val="auto"/>
        </w:rPr>
      </w:pPr>
      <w:r>
        <w:rPr>
          <w:rFonts w:ascii="Arial" w:cs="Arial" w:eastAsia="Arial" w:hAnsi="Arial"/>
          <w:sz w:val="22"/>
          <w:szCs w:val="22"/>
          <w:color w:val="auto"/>
        </w:rPr>
        <w:t>Not in excess of 25% of</w:t>
      </w:r>
      <w:r>
        <w:rPr>
          <w:sz w:val="20"/>
          <w:szCs w:val="20"/>
          <w:color w:val="auto"/>
        </w:rPr>
        <w:tab/>
      </w:r>
      <w:r>
        <w:rPr>
          <w:rFonts w:ascii="Arial" w:cs="Arial" w:eastAsia="Arial" w:hAnsi="Arial"/>
          <w:sz w:val="19"/>
          <w:szCs w:val="19"/>
          <w:color w:val="auto"/>
        </w:rPr>
        <w:t>_____% of Total Asset Value $___________</w:t>
      </w:r>
    </w:p>
    <w:p>
      <w:pPr>
        <w:spacing w:after="0" w:line="238" w:lineRule="auto"/>
        <w:rPr>
          <w:sz w:val="20"/>
          <w:szCs w:val="20"/>
          <w:color w:val="auto"/>
        </w:rPr>
      </w:pPr>
      <w:r>
        <w:rPr>
          <w:rFonts w:ascii="Arial" w:cs="Arial" w:eastAsia="Arial" w:hAnsi="Arial"/>
          <w:sz w:val="22"/>
          <w:szCs w:val="22"/>
          <w:color w:val="auto"/>
        </w:rPr>
        <w:t>the Total Asset Value</w:t>
      </w:r>
    </w:p>
    <w:p>
      <w:pPr>
        <w:spacing w:after="0"/>
        <w:rPr>
          <w:sz w:val="20"/>
          <w:szCs w:val="20"/>
          <w:color w:val="auto"/>
        </w:rPr>
      </w:pPr>
      <w:r>
        <w:rPr>
          <w:rFonts w:ascii="Arial" w:cs="Arial" w:eastAsia="Arial" w:hAnsi="Arial"/>
          <w:sz w:val="22"/>
          <w:szCs w:val="22"/>
          <w:color w:val="auto"/>
        </w:rPr>
        <w:t>[10.6]</w:t>
      </w:r>
    </w:p>
    <w:p>
      <w:pPr>
        <w:spacing w:after="0" w:line="2180" w:lineRule="exact"/>
        <w:rPr>
          <w:sz w:val="20"/>
          <w:szCs w:val="20"/>
          <w:color w:val="auto"/>
        </w:rPr>
      </w:pPr>
    </w:p>
    <w:p>
      <w:pPr>
        <w:sectPr>
          <w:pgSz w:w="11900" w:h="16838" w:orient="portrait"/>
          <w:cols w:equalWidth="0" w:num="2">
            <w:col w:w="3800" w:space="120"/>
            <w:col w:w="7480"/>
          </w:cols>
          <w:pgMar w:left="240" w:top="821" w:right="259" w:bottom="1440" w:gutter="0" w:footer="0" w:header="0"/>
          <w:type w:val="continuous"/>
        </w:sectPr>
      </w:pPr>
    </w:p>
    <w:p>
      <w:pPr>
        <w:spacing w:after="0" w:line="92" w:lineRule="exact"/>
        <w:rPr>
          <w:sz w:val="20"/>
          <w:szCs w:val="20"/>
          <w:color w:val="auto"/>
        </w:rPr>
      </w:pPr>
    </w:p>
    <w:p>
      <w:pPr>
        <w:ind w:left="660" w:hanging="652"/>
        <w:spacing w:after="0" w:line="303" w:lineRule="auto"/>
        <w:tabs>
          <w:tab w:leader="none" w:pos="66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If at any time a Permitted Subsidiary Guarantor Release is consummated, the Aggregate Non-Note Party Investment Amount shall equal $0 at all times following the consummation of such Permitted Subsidiary Guarantor Release.</w:t>
      </w:r>
    </w:p>
    <w:p>
      <w:pPr>
        <w:spacing w:after="0" w:line="197" w:lineRule="exact"/>
        <w:rPr>
          <w:rFonts w:ascii="Arial" w:cs="Arial" w:eastAsia="Arial" w:hAnsi="Arial"/>
          <w:sz w:val="20"/>
          <w:szCs w:val="20"/>
          <w:color w:val="auto"/>
        </w:rPr>
      </w:pPr>
    </w:p>
    <w:p>
      <w:pPr>
        <w:ind w:left="5600" w:hanging="120"/>
        <w:spacing w:after="0"/>
        <w:tabs>
          <w:tab w:leader="none" w:pos="560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1400"/>
          </w:cols>
          <w:pgMar w:left="240" w:top="821" w:right="259" w:bottom="1440" w:gutter="0" w:footer="0" w:header="0"/>
          <w:type w:val="continuous"/>
        </w:sectPr>
      </w:pPr>
    </w:p>
    <w:bookmarkStart w:id="255" w:name="page256"/>
    <w:bookmarkEnd w:id="255"/>
    <w:p>
      <w:pPr>
        <w:jc w:val="center"/>
        <w:spacing w:after="0"/>
        <w:rPr>
          <w:sz w:val="20"/>
          <w:szCs w:val="20"/>
          <w:color w:val="auto"/>
        </w:rPr>
      </w:pPr>
      <w:r>
        <w:rPr>
          <w:rFonts w:ascii="Arial" w:cs="Arial" w:eastAsia="Arial" w:hAnsi="Arial"/>
          <w:sz w:val="22"/>
          <w:szCs w:val="22"/>
          <w:b w:val="1"/>
          <w:bCs w:val="1"/>
          <w:color w:val="auto"/>
        </w:rPr>
        <w:t>ANNEX I</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THE SUM OF THE PORTFOLIO PROPERTY NET OPERATING INCOME OF EACH</w:t>
      </w:r>
    </w:p>
    <w:p>
      <w:pPr>
        <w:spacing w:after="0" w:line="44" w:lineRule="exact"/>
        <w:rPr>
          <w:sz w:val="20"/>
          <w:szCs w:val="20"/>
          <w:color w:val="auto"/>
        </w:rPr>
      </w:pPr>
    </w:p>
    <w:p>
      <w:pPr>
        <w:jc w:val="center"/>
        <w:spacing w:after="0" w:line="242" w:lineRule="exact"/>
        <w:rPr>
          <w:sz w:val="20"/>
          <w:szCs w:val="20"/>
          <w:color w:val="auto"/>
        </w:rPr>
      </w:pPr>
      <w:r>
        <w:rPr>
          <w:rFonts w:ascii="Arial" w:cs="Arial" w:eastAsia="Arial" w:hAnsi="Arial"/>
          <w:sz w:val="21"/>
          <w:szCs w:val="21"/>
          <w:b w:val="1"/>
          <w:bCs w:val="1"/>
          <w:color w:val="auto"/>
        </w:rPr>
        <w:t>PORTFOLIO PROPERTY (EXCLUDING EACH DISPOSED PORTFOLIO PROPERTY, EACH NEWLY</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ACQUIRED</w:t>
      </w:r>
    </w:p>
    <w:p>
      <w:pPr>
        <w:spacing w:after="0" w:line="56" w:lineRule="exact"/>
        <w:rPr>
          <w:sz w:val="20"/>
          <w:szCs w:val="20"/>
          <w:color w:val="auto"/>
        </w:rPr>
      </w:pPr>
    </w:p>
    <w:p>
      <w:pPr>
        <w:jc w:val="center"/>
        <w:spacing w:after="0" w:line="291" w:lineRule="exact"/>
        <w:rPr>
          <w:sz w:val="20"/>
          <w:szCs w:val="20"/>
          <w:color w:val="auto"/>
        </w:rPr>
      </w:pPr>
      <w:r>
        <w:rPr>
          <w:rFonts w:ascii="Arial" w:cs="Arial" w:eastAsia="Arial" w:hAnsi="Arial"/>
          <w:sz w:val="21"/>
          <w:szCs w:val="21"/>
          <w:b w:val="1"/>
          <w:bCs w:val="1"/>
          <w:color w:val="auto"/>
        </w:rPr>
        <w:t>PORTFOLIO PROPERTY AND EACH NON</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 xml:space="preserve">STABILIZED PORTFOLIO PROPERTY) OWNED OR GROUND LEASED PURSUANT TO AN ELIGIBLE GROUND LEASE BY THE CONSOLIDATED GROUP FOR SUBJECT PERIOD </w:t>
      </w:r>
      <w:r>
        <w:rPr>
          <w:rFonts w:ascii="Arial" w:cs="Arial" w:eastAsia="Arial" w:hAnsi="Arial"/>
          <w:sz w:val="21"/>
          <w:szCs w:val="21"/>
          <w:b w:val="1"/>
          <w:bCs w:val="1"/>
          <w:i w:val="1"/>
          <w:iCs w:val="1"/>
          <w:color w:val="auto"/>
        </w:rPr>
        <w:t>DIVIDED BY</w:t>
      </w:r>
      <w:r>
        <w:rPr>
          <w:rFonts w:ascii="Arial" w:cs="Arial" w:eastAsia="Arial" w:hAnsi="Arial"/>
          <w:sz w:val="21"/>
          <w:szCs w:val="21"/>
          <w:b w:val="1"/>
          <w:bCs w:val="1"/>
          <w:color w:val="auto"/>
        </w:rPr>
        <w:t xml:space="preserve"> THE APPLICABLE CAPITALIZATION RATE FOR EACH SUCH PORTFOLIO PROPERTY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Calculation Attached Hereto]</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- 1 -</w:t>
      </w:r>
    </w:p>
    <w:p>
      <w:pPr>
        <w:sectPr>
          <w:pgSz w:w="11900" w:h="16838" w:orient="portrait"/>
          <w:cols w:equalWidth="0" w:num="1">
            <w:col w:w="11180"/>
          </w:cols>
          <w:pgMar w:left="360" w:top="679" w:right="359" w:bottom="1440" w:gutter="0" w:footer="0" w:header="0"/>
        </w:sectPr>
      </w:pPr>
    </w:p>
    <w:bookmarkStart w:id="256" w:name="page257"/>
    <w:bookmarkEnd w:id="256"/>
    <w:p>
      <w:pPr>
        <w:jc w:val="center"/>
        <w:spacing w:after="0"/>
        <w:rPr>
          <w:sz w:val="20"/>
          <w:szCs w:val="20"/>
          <w:color w:val="auto"/>
        </w:rPr>
      </w:pPr>
      <w:r>
        <w:rPr>
          <w:rFonts w:ascii="Arial" w:cs="Arial" w:eastAsia="Arial" w:hAnsi="Arial"/>
          <w:sz w:val="22"/>
          <w:szCs w:val="22"/>
          <w:b w:val="1"/>
          <w:bCs w:val="1"/>
          <w:color w:val="auto"/>
        </w:rPr>
        <w:t>ANNEX II</w:t>
      </w:r>
    </w:p>
    <w:p>
      <w:pPr>
        <w:spacing w:after="0" w:line="368" w:lineRule="exact"/>
        <w:rPr>
          <w:sz w:val="20"/>
          <w:szCs w:val="20"/>
          <w:color w:val="auto"/>
        </w:rPr>
      </w:pPr>
    </w:p>
    <w:p>
      <w:pPr>
        <w:jc w:val="center"/>
        <w:spacing w:after="0" w:line="308" w:lineRule="auto"/>
        <w:rPr>
          <w:sz w:val="20"/>
          <w:szCs w:val="20"/>
          <w:color w:val="auto"/>
        </w:rPr>
      </w:pPr>
      <w:r>
        <w:rPr>
          <w:rFonts w:ascii="Arial" w:cs="Arial" w:eastAsia="Arial" w:hAnsi="Arial"/>
          <w:sz w:val="22"/>
          <w:szCs w:val="22"/>
          <w:b w:val="1"/>
          <w:bCs w:val="1"/>
          <w:color w:val="auto"/>
        </w:rPr>
        <w:t>Sum of Unencumbered Property NOI of each Unencumbered Eligible Property for the fiscal quarter ending on Statement Date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Calculation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21"/>
          <w:szCs w:val="21"/>
          <w:color w:val="auto"/>
        </w:rPr>
        <w:t>2 -</w:t>
      </w:r>
    </w:p>
    <w:p>
      <w:pPr>
        <w:sectPr>
          <w:pgSz w:w="11900" w:h="16838" w:orient="portrait"/>
          <w:cols w:equalWidth="0" w:num="1">
            <w:col w:w="10200"/>
          </w:cols>
          <w:pgMar w:left="860" w:top="679" w:right="8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22"/>
          <w:szCs w:val="22"/>
          <w:b w:val="1"/>
          <w:bCs w:val="1"/>
          <w:color w:val="auto"/>
        </w:rPr>
        <w:t>ANNEX III</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Unencumbered Eligible Properties</w:t>
      </w: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ACQUISITION</w:t>
            </w:r>
          </w:p>
        </w:tc>
        <w:tc>
          <w:tcPr>
            <w:tcW w:w="1200" w:type="dxa"/>
            <w:vAlign w:val="bottom"/>
          </w:tcPr>
          <w:p>
            <w:pPr>
              <w:spacing w:after="0"/>
              <w:rPr>
                <w:sz w:val="14"/>
                <w:szCs w:val="14"/>
                <w:color w:val="auto"/>
              </w:rPr>
            </w:pPr>
          </w:p>
        </w:tc>
      </w:tr>
      <w:tr>
        <w:trPr>
          <w:trHeight w:val="149"/>
        </w:trPr>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7"/>
              </w:rPr>
              <w:t>COST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6"/>
              </w:rPr>
              <w:t>UNDEPRECIATED</w:t>
            </w:r>
          </w:p>
        </w:tc>
      </w:tr>
      <w:tr>
        <w:trPr>
          <w:trHeight w:val="149"/>
        </w:trPr>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8"/>
              </w:rPr>
              <w:t>(only for</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rPr>
              <w:t>BOOK VALUE</w:t>
            </w:r>
          </w:p>
        </w:tc>
      </w:tr>
      <w:tr>
        <w:trPr>
          <w:trHeight w:val="149"/>
        </w:trPr>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8"/>
              </w:rPr>
              <w:t>Newly-</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rPr>
              <w:t>(only for</w:t>
            </w:r>
          </w:p>
        </w:tc>
      </w:tr>
      <w:tr>
        <w:trPr>
          <w:trHeight w:val="149"/>
        </w:trPr>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8"/>
              </w:rPr>
              <w:t>OWNER/GROUND</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7"/>
              </w:rPr>
              <w:t>Acquired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rPr>
              <w:t>Qualified</w:t>
            </w:r>
          </w:p>
        </w:tc>
      </w:tr>
      <w:tr>
        <w:trPr>
          <w:trHeight w:val="149"/>
        </w:trPr>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QUALIFIED</w:t>
            </w:r>
          </w:p>
        </w:tc>
        <w:tc>
          <w:tcPr>
            <w:tcW w:w="10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LESSEE</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7"/>
              </w:rPr>
              <w:t>Portfolio</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2"/>
              </w:rPr>
              <w:t>Development</w:t>
            </w:r>
          </w:p>
        </w:tc>
      </w:tr>
      <w:tr>
        <w:trPr>
          <w:trHeight w:val="149"/>
        </w:trPr>
        <w:tc>
          <w:tcPr>
            <w:tcW w:w="5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PROPERTY</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DEVELOPMENT</w:t>
            </w:r>
          </w:p>
        </w:tc>
        <w:tc>
          <w:tcPr>
            <w:tcW w:w="10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6"/>
              </w:rPr>
              <w:t>(Controlled Joint</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0"/>
              </w:rPr>
              <w:t>Properties that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2"/>
              </w:rPr>
              <w:t>Properties and Non-</w:t>
            </w:r>
          </w:p>
        </w:tc>
      </w:tr>
      <w:tr>
        <w:trPr>
          <w:trHeight w:val="149"/>
        </w:trPr>
        <w:tc>
          <w:tcPr>
            <w:tcW w:w="5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TYPE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PROPERTY OR</w:t>
            </w:r>
          </w:p>
        </w:tc>
        <w:tc>
          <w:tcPr>
            <w:tcW w:w="10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Venture or</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ANNUAL</w:t>
            </w:r>
          </w:p>
        </w:tc>
        <w:tc>
          <w:tcPr>
            <w:tcW w:w="10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8"/>
              </w:rPr>
              <w:t>are</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6"/>
              </w:rPr>
              <w:t>Stabilized Portfolio</w:t>
            </w:r>
          </w:p>
        </w:tc>
      </w:tr>
      <w:tr>
        <w:trPr>
          <w:trHeight w:val="149"/>
        </w:trPr>
        <w:tc>
          <w:tcPr>
            <w:tcW w:w="5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w:t>
            </w:r>
            <w:r>
              <w:rPr>
                <w:rFonts w:ascii="Arial" w:cs="Arial" w:eastAsia="Arial" w:hAnsi="Arial"/>
                <w:sz w:val="14"/>
                <w:szCs w:val="14"/>
                <w:i w:val="1"/>
                <w:iCs w:val="1"/>
                <w:color w:val="auto"/>
                <w:w w:val="98"/>
              </w:rPr>
              <w:t>i.e.,</w:t>
            </w:r>
            <w:r>
              <w:rPr>
                <w:rFonts w:ascii="Arial" w:cs="Arial" w:eastAsia="Arial" w:hAnsi="Arial"/>
                <w:sz w:val="14"/>
                <w:szCs w:val="14"/>
                <w:color w:val="auto"/>
                <w:w w:val="98"/>
              </w:rPr>
              <w:t xml:space="preserve"> Hotel,</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NON-STABILIZED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6"/>
              </w:rPr>
              <w:t>OWNED OR</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7"/>
              </w:rPr>
              <w:t>Wholly Owned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5"/>
              </w:rPr>
              <w:t>Applicable</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6"/>
              </w:rPr>
              <w:t>OCCUPANCY</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CAPITAL</w:t>
            </w:r>
          </w:p>
        </w:tc>
        <w:tc>
          <w:tcPr>
            <w:tcW w:w="10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Unencumbered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0"/>
              </w:rPr>
              <w:t>Properties that are</w:t>
            </w:r>
          </w:p>
        </w:tc>
      </w:tr>
      <w:tr>
        <w:trPr>
          <w:trHeight w:val="149"/>
        </w:trPr>
        <w:tc>
          <w:tcPr>
            <w:tcW w:w="5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Office,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6"/>
              </w:rPr>
              <w:t>PORTFOLIO</w:t>
            </w:r>
          </w:p>
        </w:tc>
        <w:tc>
          <w:tcPr>
            <w:tcW w:w="10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9"/>
              </w:rPr>
              <w:t>GROUND</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7"/>
              </w:rPr>
              <w:t>Subsidiary)</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7"/>
              </w:rPr>
              <w:t>Capitalization</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6"/>
              </w:rPr>
              <w:t>RATE</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EXPENDITURE</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Unencumbered</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Eligible</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1"/>
              </w:rPr>
              <w:t>Unencumbered</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Property</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Retail]</w:t>
            </w:r>
          </w:p>
        </w:tc>
        <w:tc>
          <w:tcPr>
            <w:tcW w:w="2340" w:type="dxa"/>
            <w:vAlign w:val="bottom"/>
            <w:gridSpan w:val="2"/>
          </w:tcPr>
          <w:p>
            <w:pPr>
              <w:ind w:left="60"/>
              <w:spacing w:after="0"/>
              <w:rPr>
                <w:sz w:val="20"/>
                <w:szCs w:val="20"/>
                <w:color w:val="auto"/>
              </w:rPr>
            </w:pPr>
            <w:r>
              <w:rPr>
                <w:rFonts w:ascii="Arial" w:cs="Arial" w:eastAsia="Arial" w:hAnsi="Arial"/>
                <w:sz w:val="14"/>
                <w:szCs w:val="14"/>
                <w:color w:val="auto"/>
              </w:rPr>
              <w:t>PROPERTY? [Y/N] LEASED [O/GL]</w:t>
            </w:r>
          </w:p>
        </w:tc>
        <w:tc>
          <w:tcPr>
            <w:tcW w:w="1280" w:type="dxa"/>
            <w:vAlign w:val="bottom"/>
          </w:tcPr>
          <w:p>
            <w:pPr>
              <w:jc w:val="center"/>
              <w:spacing w:after="0"/>
              <w:rPr>
                <w:sz w:val="20"/>
                <w:szCs w:val="20"/>
                <w:color w:val="auto"/>
              </w:rPr>
            </w:pPr>
            <w:r>
              <w:rPr>
                <w:rFonts w:ascii="Arial" w:cs="Arial" w:eastAsia="Arial" w:hAnsi="Arial"/>
                <w:sz w:val="14"/>
                <w:szCs w:val="14"/>
                <w:color w:val="auto"/>
                <w:w w:val="96"/>
              </w:rPr>
              <w:t>[CJV/WO Sub]</w:t>
            </w:r>
          </w:p>
        </w:tc>
        <w:tc>
          <w:tcPr>
            <w:tcW w:w="940" w:type="dxa"/>
            <w:vAlign w:val="bottom"/>
          </w:tcPr>
          <w:p>
            <w:pPr>
              <w:jc w:val="center"/>
              <w:spacing w:after="0"/>
              <w:rPr>
                <w:sz w:val="20"/>
                <w:szCs w:val="20"/>
                <w:color w:val="auto"/>
              </w:rPr>
            </w:pPr>
            <w:r>
              <w:rPr>
                <w:rFonts w:ascii="Arial" w:cs="Arial" w:eastAsia="Arial" w:hAnsi="Arial"/>
                <w:sz w:val="14"/>
                <w:szCs w:val="14"/>
                <w:color w:val="auto"/>
                <w:w w:val="87"/>
              </w:rPr>
              <w:t>Rate</w:t>
            </w:r>
          </w:p>
        </w:tc>
        <w:tc>
          <w:tcPr>
            <w:tcW w:w="9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ADJUSTMENT</w:t>
            </w:r>
          </w:p>
        </w:tc>
        <w:tc>
          <w:tcPr>
            <w:tcW w:w="1000" w:type="dxa"/>
            <w:vAlign w:val="bottom"/>
          </w:tcPr>
          <w:p>
            <w:pPr>
              <w:jc w:val="center"/>
              <w:spacing w:after="0"/>
              <w:rPr>
                <w:sz w:val="20"/>
                <w:szCs w:val="20"/>
                <w:color w:val="auto"/>
              </w:rPr>
            </w:pPr>
            <w:r>
              <w:rPr>
                <w:rFonts w:ascii="Arial" w:cs="Arial" w:eastAsia="Arial" w:hAnsi="Arial"/>
                <w:sz w:val="14"/>
                <w:szCs w:val="14"/>
                <w:color w:val="auto"/>
                <w:w w:val="97"/>
              </w:rPr>
              <w:t>Property NOI</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Properties)</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Eligible Properties)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Occupancy Rate for all Unencumbered Eligible Properties (excluding Hotel Properties): ___%</w:t>
      </w:r>
    </w:p>
    <w:p>
      <w:pPr>
        <w:spacing w:after="0" w:line="287" w:lineRule="exact"/>
        <w:rPr>
          <w:sz w:val="20"/>
          <w:szCs w:val="20"/>
          <w:color w:val="auto"/>
        </w:rPr>
      </w:pPr>
    </w:p>
    <w:p>
      <w:pPr>
        <w:spacing w:after="0"/>
        <w:tabs>
          <w:tab w:leader="none" w:pos="9640" w:val="left"/>
        </w:tabs>
        <w:rPr>
          <w:sz w:val="20"/>
          <w:szCs w:val="20"/>
          <w:color w:val="auto"/>
        </w:rPr>
      </w:pPr>
      <w:r>
        <w:rPr>
          <w:rFonts w:ascii="Arial" w:cs="Arial" w:eastAsia="Arial" w:hAnsi="Arial"/>
          <w:sz w:val="21"/>
          <w:szCs w:val="21"/>
          <w:color w:val="auto"/>
        </w:rPr>
        <w:t>Minimum Permitted Occupancy Rate for all Unencumbered Eligible Properties (excluding Hotel Properties):</w:t>
      </w:r>
      <w:r>
        <w:rPr>
          <w:sz w:val="20"/>
          <w:szCs w:val="20"/>
          <w:color w:val="auto"/>
        </w:rPr>
        <w:tab/>
      </w:r>
      <w:r>
        <w:rPr>
          <w:rFonts w:ascii="Arial" w:cs="Arial" w:eastAsia="Arial" w:hAnsi="Arial"/>
          <w:sz w:val="18"/>
          <w:szCs w:val="18"/>
          <w:color w:val="auto"/>
        </w:rPr>
        <w:t>80%</w:t>
      </w:r>
    </w:p>
    <w:p>
      <w:pPr>
        <w:spacing w:after="0" w:line="299" w:lineRule="exact"/>
        <w:rPr>
          <w:sz w:val="20"/>
          <w:szCs w:val="20"/>
          <w:color w:val="auto"/>
        </w:rPr>
      </w:pPr>
    </w:p>
    <w:p>
      <w:pPr>
        <w:spacing w:after="0"/>
        <w:tabs>
          <w:tab w:leader="none" w:pos="2980" w:val="left"/>
        </w:tabs>
        <w:rPr>
          <w:sz w:val="20"/>
          <w:szCs w:val="20"/>
          <w:color w:val="auto"/>
        </w:rPr>
      </w:pPr>
      <w:r>
        <w:rPr>
          <w:rFonts w:ascii="Arial" w:cs="Arial" w:eastAsia="Arial" w:hAnsi="Arial"/>
          <w:sz w:val="22"/>
          <w:szCs w:val="22"/>
          <w:color w:val="auto"/>
        </w:rPr>
        <w:t>Aggregate Unencumbered NOI:</w:t>
      </w:r>
      <w:r>
        <w:rPr>
          <w:sz w:val="20"/>
          <w:szCs w:val="20"/>
          <w:color w:val="auto"/>
        </w:rPr>
        <w:tab/>
      </w:r>
      <w:r>
        <w:rPr>
          <w:rFonts w:ascii="Arial" w:cs="Arial" w:eastAsia="Arial" w:hAnsi="Arial"/>
          <w:sz w:val="19"/>
          <w:szCs w:val="19"/>
          <w:color w:val="auto"/>
        </w:rPr>
        <w:t>$_________</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Aggregate Acquisition Costs for all Newly-Acquired Portfolio Properties that are Unencumbered Eligible Properties: $_____</w:t>
      </w:r>
      <w:r>
        <w:rPr>
          <w:rFonts w:ascii="Arial" w:cs="Arial" w:eastAsia="Arial" w:hAnsi="Arial"/>
          <w:sz w:val="26"/>
          <w:szCs w:val="26"/>
          <w:color w:val="auto"/>
          <w:vertAlign w:val="superscript"/>
        </w:rPr>
        <w:t>9</w:t>
      </w:r>
    </w:p>
    <w:p>
      <w:pPr>
        <w:spacing w:after="0" w:line="266" w:lineRule="exact"/>
        <w:rPr>
          <w:sz w:val="20"/>
          <w:szCs w:val="20"/>
          <w:color w:val="auto"/>
        </w:rPr>
      </w:pPr>
    </w:p>
    <w:p>
      <w:pPr>
        <w:spacing w:after="0" w:line="286" w:lineRule="exact"/>
        <w:rPr>
          <w:sz w:val="20"/>
          <w:szCs w:val="20"/>
          <w:color w:val="auto"/>
        </w:rPr>
      </w:pPr>
      <w:r>
        <w:rPr>
          <w:rFonts w:ascii="Arial" w:cs="Arial" w:eastAsia="Arial" w:hAnsi="Arial"/>
          <w:sz w:val="22"/>
          <w:szCs w:val="22"/>
          <w:color w:val="auto"/>
        </w:rPr>
        <w:t>Aggregate Undepreciated Book Value of all Qualified Development Properties that are Unencumbered Eligible Properties or Non</w:t>
      </w:r>
      <w:r>
        <w:rPr>
          <w:rFonts w:ascii="MS PGothic" w:cs="MS PGothic" w:eastAsia="MS PGothic" w:hAnsi="MS PGothic"/>
          <w:sz w:val="22"/>
          <w:szCs w:val="22"/>
          <w:color w:val="auto"/>
        </w:rPr>
        <w:t>‑</w:t>
      </w:r>
      <w:r>
        <w:rPr>
          <w:rFonts w:ascii="Arial" w:cs="Arial" w:eastAsia="Arial" w:hAnsi="Arial"/>
          <w:sz w:val="22"/>
          <w:szCs w:val="22"/>
          <w:color w:val="auto"/>
        </w:rPr>
        <w:t>Stabilized Portfolio Properties: $_________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92" w:lineRule="exact"/>
        <w:rPr>
          <w:sz w:val="20"/>
          <w:szCs w:val="20"/>
          <w:color w:val="auto"/>
        </w:rPr>
      </w:pPr>
    </w:p>
    <w:p>
      <w:pPr>
        <w:ind w:left="660" w:hanging="652"/>
        <w:spacing w:after="0"/>
        <w:tabs>
          <w:tab w:leader="none" w:pos="66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Include only Note Party Pro Rata Share of acquisition costs for properties acquired by Controlled Joint Ventures</w:t>
      </w:r>
    </w:p>
    <w:p>
      <w:pPr>
        <w:sectPr>
          <w:pgSz w:w="11900" w:h="16838" w:orient="portrait"/>
          <w:cols w:equalWidth="0" w:num="1">
            <w:col w:w="11420"/>
          </w:cols>
          <w:pgMar w:left="240" w:top="679" w:right="2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22"/>
          <w:szCs w:val="22"/>
          <w:b w:val="1"/>
          <w:bCs w:val="1"/>
          <w:color w:val="auto"/>
        </w:rPr>
        <w:t>EXCEPTIONS TO RECOURSE LIABILITY</w:t>
      </w:r>
    </w:p>
    <w:p>
      <w:pPr>
        <w:spacing w:after="0" w:line="293" w:lineRule="exact"/>
        <w:rPr>
          <w:sz w:val="20"/>
          <w:szCs w:val="20"/>
          <w:color w:val="auto"/>
        </w:rPr>
      </w:pPr>
    </w:p>
    <w:p>
      <w:pPr>
        <w:jc w:val="both"/>
        <w:ind w:firstLine="832"/>
        <w:spacing w:after="0" w:line="336" w:lineRule="auto"/>
        <w:tabs>
          <w:tab w:leader="none" w:pos="1309"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Indemnity Agreement, dated as of February 15, 2007, by ABW Holdings LLC, a Delaware limited liability company, American Assets, Inc. a California corporation, and Outrigger Enterprises, Inc., a Hawaii corporation in favor of Column Financial, a Delaware corporation, AS AMENDED by that certain Consent and Modification Agreement, dated as of December 30, 2010, by and among ABW Holdings LLC, a Delaware limited liability company, American Assets, Inc. a California corporation, Outrigger Enterprises, Inc., a Hawaii corporation, American Assets Trust, Inc., a Maryland corporation, American Assets Trust, L.P., a Maryland limited partnership, and Wells Fargo Bank, N.A., as Trustee for the Registered Holders of Credit Suisse First Boston Mortgage Securities Corp., Commercial Mortgage Pass-Through Certificates, Series 2008-C1.</w:t>
      </w:r>
    </w:p>
    <w:p>
      <w:pPr>
        <w:spacing w:after="0" w:line="181" w:lineRule="exact"/>
        <w:rPr>
          <w:rFonts w:ascii="Arial" w:cs="Arial" w:eastAsia="Arial" w:hAnsi="Arial"/>
          <w:sz w:val="19"/>
          <w:szCs w:val="19"/>
          <w:color w:val="auto"/>
        </w:rPr>
      </w:pPr>
    </w:p>
    <w:p>
      <w:pPr>
        <w:jc w:val="both"/>
        <w:ind w:firstLine="832"/>
        <w:spacing w:after="0" w:line="300" w:lineRule="auto"/>
        <w:tabs>
          <w:tab w:leader="none" w:pos="1368" w:val="left"/>
        </w:tabs>
        <w:numPr>
          <w:ilvl w:val="0"/>
          <w:numId w:val="189"/>
        </w:numPr>
        <w:rPr>
          <w:rFonts w:ascii="Arial" w:cs="Arial" w:eastAsia="Arial" w:hAnsi="Arial"/>
          <w:sz w:val="21"/>
          <w:szCs w:val="21"/>
          <w:color w:val="auto"/>
        </w:rPr>
      </w:pPr>
      <w:r>
        <w:rPr>
          <w:rFonts w:ascii="Arial" w:cs="Arial" w:eastAsia="Arial" w:hAnsi="Arial"/>
          <w:sz w:val="21"/>
          <w:szCs w:val="21"/>
          <w:color w:val="auto"/>
        </w:rPr>
        <w:t>The Indemnity Agreement, dated as of April 5, 2005, by Pacific Waikiki Holdings, L.P., a California limited partnership, and American Assets, Inc. a California corporation, in favor of Bear Stearns Commercial Mortgage, Inc., a New York corporation, AS MODIFIED by that certain Consent and Acknowledgment Agreement, dated as of December 30, 2010, by and among Pacific Waikiki Holdings, L.P., a California limited partnership, Bank of America, National Association, as successor by merger to LaSalle Bank, National Association, as Trustee for Morgan Stanley Capital I Inc., Commercial Mortgage Pass-Through Certificates, Series 2005-TOP19, American Assets, Inc. a California corporation, American Assets Trust, L.P., a Maryland limited partnership, and American Assets Trust, Inc., a Maryland corporation</w:t>
      </w:r>
    </w:p>
    <w:p>
      <w:pPr>
        <w:spacing w:after="0" w:line="209" w:lineRule="exact"/>
        <w:rPr>
          <w:rFonts w:ascii="Arial" w:cs="Arial" w:eastAsia="Arial" w:hAnsi="Arial"/>
          <w:sz w:val="21"/>
          <w:szCs w:val="21"/>
          <w:color w:val="auto"/>
        </w:rPr>
      </w:pPr>
    </w:p>
    <w:p>
      <w:pPr>
        <w:jc w:val="both"/>
        <w:ind w:firstLine="832"/>
        <w:spacing w:after="0" w:line="299" w:lineRule="auto"/>
        <w:tabs>
          <w:tab w:leader="none" w:pos="1315" w:val="left"/>
        </w:tabs>
        <w:numPr>
          <w:ilvl w:val="0"/>
          <w:numId w:val="189"/>
        </w:numPr>
        <w:rPr>
          <w:rFonts w:ascii="Arial" w:cs="Arial" w:eastAsia="Arial" w:hAnsi="Arial"/>
          <w:sz w:val="21"/>
          <w:szCs w:val="21"/>
          <w:color w:val="auto"/>
        </w:rPr>
      </w:pPr>
      <w:r>
        <w:rPr>
          <w:rFonts w:ascii="Arial" w:cs="Arial" w:eastAsia="Arial" w:hAnsi="Arial"/>
          <w:sz w:val="21"/>
          <w:szCs w:val="21"/>
          <w:color w:val="auto"/>
        </w:rPr>
        <w:t>The Indemnity Agreement, dated as of February 9, 2007, by Southbay Marketplace Holdings, LLC, a Delaware limited liability company, and Earnest Rady Trust, UDT dated March 10, 1983, as amended, in favor of UBS Real Estate Securities Inc., a Delaware corporation, AS MODIFIED by that certain Consent and Acknowledgment Agreement, dated as of December 30, 2010, by and among Southbay Marketplace Holdings, LLC, a Delaware limited liability company, U.S. Bank National Association, as Trustee for the registered holders of J.P. Morgan Chase Commercial Mortgage Securities Trust 2007-LDP10, Commercial Mortgage Pass-Through Certificates, Series 2007-LDP10, the Rady Trust, American Assets Trust, L.P., a Maryland limited partnership, American Assets Trust, Inc., a Maryland corporation, American Assets, Inc. a California corporation and Wells Fargo Bank, National Association.</w:t>
      </w:r>
    </w:p>
    <w:p>
      <w:pPr>
        <w:spacing w:after="0" w:line="213" w:lineRule="exact"/>
        <w:rPr>
          <w:rFonts w:ascii="Arial" w:cs="Arial" w:eastAsia="Arial" w:hAnsi="Arial"/>
          <w:sz w:val="21"/>
          <w:szCs w:val="21"/>
          <w:color w:val="auto"/>
        </w:rPr>
      </w:pPr>
    </w:p>
    <w:p>
      <w:pPr>
        <w:jc w:val="both"/>
        <w:ind w:firstLine="832"/>
        <w:spacing w:after="0" w:line="303" w:lineRule="auto"/>
        <w:tabs>
          <w:tab w:leader="none" w:pos="1249" w:val="left"/>
        </w:tabs>
        <w:numPr>
          <w:ilvl w:val="0"/>
          <w:numId w:val="189"/>
        </w:numPr>
        <w:rPr>
          <w:rFonts w:ascii="Arial" w:cs="Arial" w:eastAsia="Arial" w:hAnsi="Arial"/>
          <w:sz w:val="21"/>
          <w:szCs w:val="21"/>
          <w:color w:val="auto"/>
        </w:rPr>
      </w:pPr>
      <w:r>
        <w:rPr>
          <w:rFonts w:ascii="Arial" w:cs="Arial" w:eastAsia="Arial" w:hAnsi="Arial"/>
          <w:sz w:val="21"/>
          <w:szCs w:val="21"/>
          <w:color w:val="auto"/>
        </w:rPr>
        <w:t>The Indemnity Agreement, dated as of June 13, 2005, by Landmark Firehill Holdings, LLC and Landmark Venture Holdings, LLC, each a Delaware limited liability company, and American Assets, Inc. a California corporation, in favor of Morgan Stanley Mortgage Capital Inc., a New York corporation, AS AMENDED by that certain Consent and Acknowledgment Agreement, dated as of December 30, 2010, by and among Landmark Firehill Holdings, LLC and Landmark Venture Holdings, LLC, each a Delaware limited liability company, Bank of America, National</w:t>
      </w: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SCHEDULE 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Note Purchase Agreement)</w:t>
      </w:r>
    </w:p>
    <w:p>
      <w:pPr>
        <w:sectPr>
          <w:pgSz w:w="11900" w:h="16838" w:orient="portrait"/>
          <w:cols w:equalWidth="0" w:num="1">
            <w:col w:w="11420"/>
          </w:cols>
          <w:pgMar w:left="240" w:top="680" w:right="239" w:bottom="1440" w:gutter="0" w:footer="0" w:header="0"/>
        </w:sectPr>
      </w:pPr>
    </w:p>
    <w:bookmarkStart w:id="259" w:name="page260"/>
    <w:bookmarkEnd w:id="259"/>
    <w:p>
      <w:pPr>
        <w:jc w:val="both"/>
        <w:spacing w:after="0" w:line="311" w:lineRule="auto"/>
        <w:rPr>
          <w:sz w:val="20"/>
          <w:szCs w:val="20"/>
          <w:color w:val="auto"/>
        </w:rPr>
      </w:pPr>
      <w:r>
        <w:rPr>
          <w:rFonts w:ascii="Arial" w:cs="Arial" w:eastAsia="Arial" w:hAnsi="Arial"/>
          <w:sz w:val="21"/>
          <w:szCs w:val="21"/>
          <w:color w:val="auto"/>
        </w:rPr>
        <w:t>Association, as successor by merger to LaSalle Bank, National Association, as Trustee for Morgan Stanley Capital I Inc., Commercial Mortgage Pass-Through Certificates, Series 2005-HQ6, American Assets, Inc. a California corporation, American Assets Trust, L.P., a Maryland limited partnership and American Assets Trust, Inc., a Maryland corporation.</w:t>
      </w:r>
    </w:p>
    <w:p>
      <w:pPr>
        <w:spacing w:after="0" w:line="196" w:lineRule="exact"/>
        <w:rPr>
          <w:sz w:val="20"/>
          <w:szCs w:val="20"/>
          <w:color w:val="auto"/>
        </w:rPr>
      </w:pPr>
    </w:p>
    <w:p>
      <w:pPr>
        <w:jc w:val="both"/>
        <w:ind w:firstLine="832"/>
        <w:spacing w:after="0" w:line="326" w:lineRule="auto"/>
        <w:tabs>
          <w:tab w:leader="none" w:pos="1208"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Indemnity Agreement, dated as of October 28, 2004, as amended January 5, 2005, as further amended December 29, 2005 by Waikele Reserve West Holdings, LLC, Waikele Venture Holdings, LLC, and American Assets, Inc., a California Corporation, in favor of Bear Stearns Commercial Mortgage, Inc., a New York corporation, AS AMENDED by that certain Consent and Acknowledgment Agreement, dated as of December 30, 2010, by and among Waikele Reserve West Holdings, LLC, Waikele 101 Sorrento, LLC, Waikele 225 Sorrento, LLC and Waikele 225 Stonecrest, LLC, each a Delaware limited liability company, Bank of America, National Association, as successor by merger to LaSalle Bank, National Association, as Trustee for Morgan Stanley Capital I Inc., Commercial Mortgage Pass-Through Certificates, Series 2005-TOP17, Bank of America, National Association, as successor by merger to LaSalle Bank, National Association, as Trustee for Bear Stearns Commercial Mortgage Securities, Inc., Commercial Mortgage Pass-Through Certificates Series, 2005-TOP18, American Assets, Inc. a California</w:t>
      </w:r>
    </w:p>
    <w:p>
      <w:pPr>
        <w:spacing w:after="0" w:line="3" w:lineRule="exact"/>
        <w:rPr>
          <w:rFonts w:ascii="Arial" w:cs="Arial" w:eastAsia="Arial" w:hAnsi="Arial"/>
          <w:sz w:val="19"/>
          <w:szCs w:val="19"/>
          <w:color w:val="auto"/>
        </w:rPr>
      </w:pPr>
    </w:p>
    <w:p>
      <w:pPr>
        <w:ind w:right="20"/>
        <w:spacing w:after="0" w:line="294" w:lineRule="auto"/>
        <w:rPr>
          <w:rFonts w:ascii="Arial" w:cs="Arial" w:eastAsia="Arial" w:hAnsi="Arial"/>
          <w:sz w:val="19"/>
          <w:szCs w:val="19"/>
          <w:color w:val="auto"/>
        </w:rPr>
      </w:pPr>
      <w:r>
        <w:rPr>
          <w:rFonts w:ascii="Arial" w:cs="Arial" w:eastAsia="Arial" w:hAnsi="Arial"/>
          <w:sz w:val="22"/>
          <w:szCs w:val="22"/>
          <w:color w:val="auto"/>
        </w:rPr>
        <w:t>corporation, American Assets Trust, L.P., a Maryland limited partnership and American Assets Trust, Inc., a Maryland corporation.</w:t>
      </w:r>
      <w:r>
        <w:rPr>
          <w:rFonts w:ascii="Arial" w:cs="Arial" w:eastAsia="Arial" w:hAnsi="Arial"/>
          <w:sz w:val="28"/>
          <w:szCs w:val="28"/>
          <w:color w:val="auto"/>
          <w:vertAlign w:val="superscript"/>
        </w:rPr>
        <w:t>10</w:t>
      </w:r>
    </w:p>
    <w:p>
      <w:pPr>
        <w:spacing w:after="0" w:line="133" w:lineRule="exact"/>
        <w:rPr>
          <w:rFonts w:ascii="Arial" w:cs="Arial" w:eastAsia="Arial" w:hAnsi="Arial"/>
          <w:sz w:val="19"/>
          <w:szCs w:val="19"/>
          <w:color w:val="auto"/>
        </w:rPr>
      </w:pPr>
    </w:p>
    <w:p>
      <w:pPr>
        <w:jc w:val="both"/>
        <w:ind w:firstLine="832"/>
        <w:spacing w:after="0" w:line="288" w:lineRule="auto"/>
        <w:tabs>
          <w:tab w:leader="none" w:pos="125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Indemnity Agreement, dated as of January 18, 2011, but effective as of January 19, by American Assets Trust, Inc., a Maryland corporation, and American Assets Trust, L.P., a Maryland limited partnership in favor of the U.S. Bank National Association, as Trustee for the Registered Holders of Banc of America Commercial Mortgage Inc., Commercial Mortgage Pass-Through Certificates, Series 2006-5.</w:t>
      </w:r>
    </w:p>
    <w:p>
      <w:pPr>
        <w:spacing w:after="0" w:line="217" w:lineRule="exact"/>
        <w:rPr>
          <w:rFonts w:ascii="Arial" w:cs="Arial" w:eastAsia="Arial" w:hAnsi="Arial"/>
          <w:sz w:val="22"/>
          <w:szCs w:val="22"/>
          <w:color w:val="auto"/>
        </w:rPr>
      </w:pPr>
    </w:p>
    <w:p>
      <w:pPr>
        <w:jc w:val="both"/>
        <w:ind w:firstLine="832"/>
        <w:spacing w:after="0" w:line="288" w:lineRule="auto"/>
        <w:tabs>
          <w:tab w:leader="none" w:pos="1255"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Indemnity Agreement, dated as of January 18, 2011, but effective as of January 19, 2011, by American Assets Trust, Inc., a Maryland corporation, and American Assets Trust, L.P., a Maryland limited partnership in favor of the U.S. Bank National Association, as Trustee for the Registered Holders of Banc of America Commercial Mortgage Inc., Commercial Mortgage Pass-Through Certificates, Series 2006-5.</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10 Indemnity Agreement to be terminated upon repayment of Waikele Center mortgage on or about October 31, 2014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E-2</w:t>
      </w:r>
    </w:p>
    <w:p>
      <w:pPr>
        <w:sectPr>
          <w:pgSz w:w="11900" w:h="16838" w:orient="portrait"/>
          <w:cols w:equalWidth="0" w:num="1">
            <w:col w:w="11420"/>
          </w:cols>
          <w:pgMar w:left="240" w:top="929" w:right="239" w:bottom="1440" w:gutter="0" w:footer="0" w:header="0"/>
        </w:sectPr>
      </w:pPr>
    </w:p>
    <w:bookmarkStart w:id="260" w:name="page261"/>
    <w:bookmarkEnd w:id="260"/>
    <w:p>
      <w:pPr>
        <w:jc w:val="both"/>
        <w:ind w:firstLine="832"/>
        <w:spacing w:after="0" w:line="285" w:lineRule="auto"/>
        <w:tabs>
          <w:tab w:leader="none" w:pos="127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Indemnity Agreement, dated as of January 19, 2011 by Del Monte – POH, LLC, a Delaware limited liability company, Del Monte – DMSJH, LLC, a Delaware limited liability company, Del Monte – KMBC, LLC, a Delaware limited liability company, and Del Monte – DMCH, LLC, a Delaware limited liability company, American Assets Trust, L.P., a Maryland limited partnership and American Assets Trust, Inc., a Maryland corporation, for the benefit of Wells Fargo Bank, N.A., as Trustee for the Registered Holders of Credit Suisse First Boston Mortgage Securities Corp., Commercial Mortgage Pass-Through Certificates, Series 2005-C5.</w:t>
      </w:r>
    </w:p>
    <w:p>
      <w:pPr>
        <w:spacing w:after="0" w:line="223" w:lineRule="exact"/>
        <w:rPr>
          <w:rFonts w:ascii="Arial" w:cs="Arial" w:eastAsia="Arial" w:hAnsi="Arial"/>
          <w:sz w:val="22"/>
          <w:szCs w:val="22"/>
          <w:color w:val="auto"/>
        </w:rPr>
      </w:pPr>
    </w:p>
    <w:p>
      <w:pPr>
        <w:jc w:val="both"/>
        <w:ind w:firstLine="832"/>
        <w:spacing w:after="0" w:line="287" w:lineRule="auto"/>
        <w:tabs>
          <w:tab w:leader="none" w:pos="1262"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Indemnity Agreement, dated as of January 19, 2011, by SB Corporate Centre III-IV, LLC, a Delaware limited liability company, American Assets Trust, Inc., a Maryland corporation, and American Assets Trust, L.P., a Maryland limited partnership, in favor of Bank of America, National Association, successor by merger to LaSalle Bank National Association, as Trustee for the Registered Holders of Morgan Stanley Capital I Inc., Commercial Mortgage Pass-Through Certificates, Series 2007-IQ16.</w:t>
      </w:r>
    </w:p>
    <w:p>
      <w:pPr>
        <w:spacing w:after="0" w:line="216" w:lineRule="exact"/>
        <w:rPr>
          <w:rFonts w:ascii="Arial" w:cs="Arial" w:eastAsia="Arial" w:hAnsi="Arial"/>
          <w:sz w:val="22"/>
          <w:szCs w:val="22"/>
          <w:color w:val="auto"/>
        </w:rPr>
      </w:pPr>
    </w:p>
    <w:p>
      <w:pPr>
        <w:jc w:val="both"/>
        <w:ind w:firstLine="832"/>
        <w:spacing w:after="0" w:line="292" w:lineRule="auto"/>
        <w:tabs>
          <w:tab w:leader="none" w:pos="1344"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Indemnification Agreement, dated as of January 19, 2011, by American Assets Trust, L.P., a Maryland limited partnership, to and for the benefit of John Hancock Life Insurance Company (U.S.A.), a Michigan corporation and the successor by merger to John Hancock Life Insurance Company, a Massachusetts corporation.</w:t>
      </w:r>
    </w:p>
    <w:p>
      <w:pPr>
        <w:spacing w:after="0" w:line="211" w:lineRule="exact"/>
        <w:rPr>
          <w:rFonts w:ascii="Arial" w:cs="Arial" w:eastAsia="Arial" w:hAnsi="Arial"/>
          <w:sz w:val="22"/>
          <w:szCs w:val="22"/>
          <w:color w:val="auto"/>
        </w:rPr>
      </w:pPr>
    </w:p>
    <w:p>
      <w:pPr>
        <w:jc w:val="both"/>
        <w:ind w:firstLine="832"/>
        <w:spacing w:after="0" w:line="311" w:lineRule="auto"/>
        <w:tabs>
          <w:tab w:leader="none" w:pos="1382"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The Indemnity Agreement, dated as of June 1, 2011 by AAT Oregon Office I, LLC, a Delaware limited liability company, and American Assets Trust, L.P., a Maryland limited partnership, in favor of PNC BANK, NATIONAL ASSOCIATION, a national banking association c/o Midland Loan Services, Inc., Reference Loan Number 940960046.</w:t>
      </w:r>
    </w:p>
    <w:p>
      <w:pPr>
        <w:spacing w:after="0" w:line="195" w:lineRule="exact"/>
        <w:rPr>
          <w:rFonts w:ascii="Arial" w:cs="Arial" w:eastAsia="Arial" w:hAnsi="Arial"/>
          <w:sz w:val="21"/>
          <w:szCs w:val="21"/>
          <w:color w:val="auto"/>
        </w:rPr>
      </w:pPr>
    </w:p>
    <w:p>
      <w:pPr>
        <w:jc w:val="both"/>
        <w:ind w:firstLine="832"/>
        <w:spacing w:after="0" w:line="311" w:lineRule="auto"/>
        <w:tabs>
          <w:tab w:leader="none" w:pos="1419"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The Indemnity Agreement, dated as of March 29, 2012 by AAT One Beach, LLC, a Delaware limited liability company, and American Assets Trust, L.P., a Maryland limited partnership, in favor of PNC BANK, NATIONAL ASSOCIATION, a national banking c/o Midland Loan Services, Inc., Reference Loan Number 940960219.</w:t>
      </w:r>
    </w:p>
    <w:p>
      <w:pPr>
        <w:spacing w:after="0" w:line="195" w:lineRule="exact"/>
        <w:rPr>
          <w:rFonts w:ascii="Arial" w:cs="Arial" w:eastAsia="Arial" w:hAnsi="Arial"/>
          <w:sz w:val="21"/>
          <w:szCs w:val="21"/>
          <w:color w:val="auto"/>
        </w:rPr>
      </w:pPr>
    </w:p>
    <w:p>
      <w:pPr>
        <w:jc w:val="both"/>
        <w:ind w:firstLine="832"/>
        <w:spacing w:after="0" w:line="311" w:lineRule="auto"/>
        <w:tabs>
          <w:tab w:leader="none" w:pos="1363"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The Indemnity Agreement, dated as of October 10, 2012 by AAT CC Bellevue, LLC, a Delaware limited liability company, and American Assets Trust, L.P., a Maryland limited partnership, in favor of PNC BANK, NATIONAL ASSOCIATION, a national banking association c/o Midland Loan Services, Inc., Reference Loan Number 940960335.</w:t>
      </w:r>
    </w:p>
    <w:p>
      <w:pPr>
        <w:spacing w:after="0" w:line="195" w:lineRule="exact"/>
        <w:rPr>
          <w:rFonts w:ascii="Arial" w:cs="Arial" w:eastAsia="Arial" w:hAnsi="Arial"/>
          <w:sz w:val="21"/>
          <w:szCs w:val="21"/>
          <w:color w:val="auto"/>
        </w:rPr>
      </w:pPr>
    </w:p>
    <w:p>
      <w:pPr>
        <w:jc w:val="both"/>
        <w:ind w:firstLine="832"/>
        <w:spacing w:after="0" w:line="292" w:lineRule="auto"/>
        <w:tabs>
          <w:tab w:leader="none" w:pos="1457"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Guaranty Agreement, dated as of January 19, 2011, by American Assets Trust, L.P., a Maryland limited partnership, in favor of the Partnership and John Hancock Life Insurance Company (U.S.A.), a Michigan corporation and the successor by merger to John Hancock Life Insurance Company, a Massachusetts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E-3</w:t>
      </w:r>
    </w:p>
    <w:p>
      <w:pPr>
        <w:sectPr>
          <w:pgSz w:w="11900" w:h="16838" w:orient="portrait"/>
          <w:cols w:equalWidth="0" w:num="1">
            <w:col w:w="11420"/>
          </w:cols>
          <w:pgMar w:left="240" w:top="928" w:right="239" w:bottom="1440" w:gutter="0" w:footer="0" w:header="0"/>
        </w:sectPr>
      </w:pPr>
    </w:p>
    <w:bookmarkStart w:id="261" w:name="page262"/>
    <w:bookmarkEnd w:id="261"/>
    <w:p>
      <w:pPr>
        <w:jc w:val="both"/>
        <w:ind w:firstLine="832"/>
        <w:spacing w:after="0" w:line="292" w:lineRule="auto"/>
        <w:tabs>
          <w:tab w:leader="none" w:pos="136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Guaranty of Recourse Obligations, dated as of January 19, 2011, by American Assets Trust, L.P., a Maryland limited partnership, for the benefit of U.S. Bank National Association, as Trustee for the registered holders of COMM 2010-C1 Mortgage Trust, COMM 2010-C1 Commercial Mortgage Pass-Through Certificates.</w:t>
      </w:r>
    </w:p>
    <w:p>
      <w:pPr>
        <w:spacing w:after="0" w:line="211" w:lineRule="exact"/>
        <w:rPr>
          <w:rFonts w:ascii="Arial" w:cs="Arial" w:eastAsia="Arial" w:hAnsi="Arial"/>
          <w:sz w:val="22"/>
          <w:szCs w:val="22"/>
          <w:color w:val="auto"/>
        </w:rPr>
      </w:pPr>
    </w:p>
    <w:p>
      <w:pPr>
        <w:jc w:val="both"/>
        <w:ind w:firstLine="832"/>
        <w:spacing w:after="0" w:line="288" w:lineRule="auto"/>
        <w:tabs>
          <w:tab w:leader="none" w:pos="141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Environmental Indemnity Agreement, dated as of January 19, 2011, by SBCC Holdings, LLC, a Delaware limited liability company, and American Assets Trust, L.P., a Maryland limited partnership in favor of the U.S. Bank National Association, as Trustee for the registered holders of COMM 2010-C1 Mortgage Trust, COMM 2010-C1 Commercial Mortgage Pass-Through Certificates and the other indemnified parties named therein.</w:t>
      </w:r>
    </w:p>
    <w:p>
      <w:pPr>
        <w:spacing w:after="0" w:line="217" w:lineRule="exact"/>
        <w:rPr>
          <w:rFonts w:ascii="Arial" w:cs="Arial" w:eastAsia="Arial" w:hAnsi="Arial"/>
          <w:sz w:val="22"/>
          <w:szCs w:val="22"/>
          <w:color w:val="auto"/>
        </w:rPr>
      </w:pPr>
    </w:p>
    <w:p>
      <w:pPr>
        <w:jc w:val="both"/>
        <w:ind w:firstLine="832"/>
        <w:spacing w:after="0" w:line="292" w:lineRule="auto"/>
        <w:tabs>
          <w:tab w:leader="none" w:pos="136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Guaranty of Recourse Obligations, dated as of January 19, 2011, by American Assets Trust, L.P., a Maryland limited partnership, for the benefit of U.S. Bank National Association, as Trustee for the registered holders of COMM 2010-C1 Mortgage Trust, COMM 2010-C1 Commercial Mortgage Pass-Through Certificates.</w:t>
      </w:r>
    </w:p>
    <w:p>
      <w:pPr>
        <w:spacing w:after="0" w:line="211" w:lineRule="exact"/>
        <w:rPr>
          <w:rFonts w:ascii="Arial" w:cs="Arial" w:eastAsia="Arial" w:hAnsi="Arial"/>
          <w:sz w:val="22"/>
          <w:szCs w:val="22"/>
          <w:color w:val="auto"/>
        </w:rPr>
      </w:pPr>
    </w:p>
    <w:p>
      <w:pPr>
        <w:jc w:val="both"/>
        <w:ind w:firstLine="832"/>
        <w:spacing w:after="0" w:line="288" w:lineRule="auto"/>
        <w:tabs>
          <w:tab w:leader="none" w:pos="1417"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Environmental Indemnity Agreement, dated as of January 19, 2011, by SBTC Holdings, LLC, a Delaware limited liability company, and American Assets Trust, L.P., a Maryland limited partnership, in favor of the U.S. Bank National Association, as Trustee for the registered holders of COMM 2010-C1 Mortgage Trust, COMM 2010-C1 Commercial Mortgage Pass-Through Certificates and the other indemnified parties named therein.</w:t>
      </w:r>
    </w:p>
    <w:p>
      <w:pPr>
        <w:spacing w:after="0" w:line="217" w:lineRule="exact"/>
        <w:rPr>
          <w:rFonts w:ascii="Arial" w:cs="Arial" w:eastAsia="Arial" w:hAnsi="Arial"/>
          <w:sz w:val="22"/>
          <w:szCs w:val="22"/>
          <w:color w:val="auto"/>
        </w:rPr>
      </w:pPr>
    </w:p>
    <w:p>
      <w:pPr>
        <w:jc w:val="both"/>
        <w:ind w:firstLine="832"/>
        <w:spacing w:after="0" w:line="292" w:lineRule="auto"/>
        <w:tabs>
          <w:tab w:leader="none" w:pos="136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Guaranty of Recourse Obligations, dated as of January 19, 2011, by American Assets Trust, L.P., a Maryland limited partnership, for the benefit of U.S. Bank National Association, as Trustee for the registered holders of COMM 2010-C1 Mortgage Trust, COMM 2010-C1 Commercial Mortgage Pass-Through Certificates.</w:t>
      </w:r>
    </w:p>
    <w:p>
      <w:pPr>
        <w:spacing w:after="0" w:line="211" w:lineRule="exact"/>
        <w:rPr>
          <w:rFonts w:ascii="Arial" w:cs="Arial" w:eastAsia="Arial" w:hAnsi="Arial"/>
          <w:sz w:val="22"/>
          <w:szCs w:val="22"/>
          <w:color w:val="auto"/>
        </w:rPr>
      </w:pPr>
    </w:p>
    <w:p>
      <w:pPr>
        <w:jc w:val="both"/>
        <w:ind w:firstLine="832"/>
        <w:spacing w:after="0" w:line="288" w:lineRule="auto"/>
        <w:tabs>
          <w:tab w:leader="none" w:pos="133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Environmental Indemnity Agreement, dated as of January 19, 2011, by Pacific VC Holdings, LLC, a Delaware limited liability company, and American Assets Trust, L.P., a Maryland limited partnership, in favor of the U.S. Bank National Association, as Trustee for the registered holders of COMM 2010-C1 Mortgage Trust, COMM 2010-C1 Commercial Mortgage Pass-Through Certificates and the other indemnified parties named therein.</w:t>
      </w:r>
    </w:p>
    <w:p>
      <w:pPr>
        <w:spacing w:after="0" w:line="217" w:lineRule="exact"/>
        <w:rPr>
          <w:rFonts w:ascii="Arial" w:cs="Arial" w:eastAsia="Arial" w:hAnsi="Arial"/>
          <w:sz w:val="22"/>
          <w:szCs w:val="22"/>
          <w:color w:val="auto"/>
        </w:rPr>
      </w:pPr>
    </w:p>
    <w:p>
      <w:pPr>
        <w:jc w:val="both"/>
        <w:ind w:right="20" w:firstLine="832"/>
        <w:spacing w:after="0" w:line="311" w:lineRule="auto"/>
        <w:tabs>
          <w:tab w:leader="none" w:pos="1401" w:val="left"/>
        </w:tabs>
        <w:numPr>
          <w:ilvl w:val="0"/>
          <w:numId w:val="192"/>
        </w:numPr>
        <w:rPr>
          <w:rFonts w:ascii="Arial" w:cs="Arial" w:eastAsia="Arial" w:hAnsi="Arial"/>
          <w:sz w:val="21"/>
          <w:szCs w:val="21"/>
          <w:color w:val="auto"/>
        </w:rPr>
      </w:pPr>
      <w:r>
        <w:rPr>
          <w:rFonts w:ascii="Arial" w:cs="Arial" w:eastAsia="Arial" w:hAnsi="Arial"/>
          <w:sz w:val="21"/>
          <w:szCs w:val="21"/>
          <w:color w:val="auto"/>
        </w:rPr>
        <w:t xml:space="preserve">The Environmental Indemnity Agreement, dated as of June 1, 2011 by AAT Oregon Office I, LLC, a Delaware limited liability company, and American Assets Trust, L.P., a Maryland limited partnership, in favor of </w:t>
      </w:r>
      <w:r>
        <w:rPr>
          <w:rFonts w:ascii="Arial" w:cs="Arial" w:eastAsia="Arial" w:hAnsi="Arial"/>
          <w:sz w:val="18"/>
          <w:szCs w:val="18"/>
          <w:color w:val="auto"/>
        </w:rPr>
        <w:t>PNC BANK, NATIONAL</w:t>
      </w:r>
      <w:r>
        <w:rPr>
          <w:rFonts w:ascii="Arial" w:cs="Arial" w:eastAsia="Arial" w:hAnsi="Arial"/>
          <w:sz w:val="21"/>
          <w:szCs w:val="21"/>
          <w:color w:val="auto"/>
        </w:rPr>
        <w:t xml:space="preserve"> </w:t>
      </w:r>
      <w:r>
        <w:rPr>
          <w:rFonts w:ascii="Arial" w:cs="Arial" w:eastAsia="Arial" w:hAnsi="Arial"/>
          <w:sz w:val="18"/>
          <w:szCs w:val="18"/>
          <w:color w:val="auto"/>
        </w:rPr>
        <w:t>ASSOCIATION</w:t>
      </w:r>
      <w:r>
        <w:rPr>
          <w:rFonts w:ascii="Arial" w:cs="Arial" w:eastAsia="Arial" w:hAnsi="Arial"/>
          <w:sz w:val="20"/>
          <w:szCs w:val="20"/>
          <w:color w:val="auto"/>
        </w:rPr>
        <w:t>, a national banking association c/o Midland Loan Services, Inc., Reference Loan Number 940960046.</w:t>
      </w:r>
    </w:p>
    <w:p>
      <w:pPr>
        <w:spacing w:after="0" w:line="195" w:lineRule="exact"/>
        <w:rPr>
          <w:rFonts w:ascii="Arial" w:cs="Arial" w:eastAsia="Arial" w:hAnsi="Arial"/>
          <w:sz w:val="21"/>
          <w:szCs w:val="21"/>
          <w:color w:val="auto"/>
        </w:rPr>
      </w:pPr>
    </w:p>
    <w:p>
      <w:pPr>
        <w:ind w:firstLine="832"/>
        <w:spacing w:after="0" w:line="302" w:lineRule="auto"/>
        <w:tabs>
          <w:tab w:leader="none" w:pos="1436"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Environmental Indemnity Agreement, dated as of March 29, 2012 by AAT One Beach, LLC, a Delaware limited liability company, and American Assets Trust, L.P., a Maryland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E-4</w:t>
      </w:r>
    </w:p>
    <w:p>
      <w:pPr>
        <w:sectPr>
          <w:pgSz w:w="11900" w:h="16838" w:orient="portrait"/>
          <w:cols w:equalWidth="0" w:num="1">
            <w:col w:w="11420"/>
          </w:cols>
          <w:pgMar w:left="240" w:top="928" w:right="239" w:bottom="1440" w:gutter="0" w:footer="0" w:header="0"/>
        </w:sectPr>
      </w:pPr>
    </w:p>
    <w:bookmarkStart w:id="262" w:name="page263"/>
    <w:bookmarkEnd w:id="262"/>
    <w:p>
      <w:pPr>
        <w:spacing w:after="0" w:line="302" w:lineRule="auto"/>
        <w:rPr>
          <w:sz w:val="20"/>
          <w:szCs w:val="20"/>
          <w:color w:val="auto"/>
        </w:rPr>
      </w:pPr>
      <w:r>
        <w:rPr>
          <w:rFonts w:ascii="Arial" w:cs="Arial" w:eastAsia="Arial" w:hAnsi="Arial"/>
          <w:sz w:val="22"/>
          <w:szCs w:val="22"/>
          <w:color w:val="auto"/>
        </w:rPr>
        <w:t>limited partnership, , in favor of PNC BANK, NATIONAL ASSOCIATION, a national banking association c/o Midland Loan Services, Inc., Reference Loan Number 940960219.</w:t>
      </w:r>
    </w:p>
    <w:p>
      <w:pPr>
        <w:spacing w:after="0" w:line="201" w:lineRule="exact"/>
        <w:rPr>
          <w:sz w:val="20"/>
          <w:szCs w:val="20"/>
          <w:color w:val="auto"/>
        </w:rPr>
      </w:pPr>
    </w:p>
    <w:p>
      <w:pPr>
        <w:jc w:val="both"/>
        <w:ind w:firstLine="832"/>
        <w:spacing w:after="0" w:line="357" w:lineRule="auto"/>
        <w:tabs>
          <w:tab w:leader="none" w:pos="1376"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Environmental Indemnity Agreement, dated as of October 10, 2012 by AAT CC Bellevue, LLC, a Delaware limited liability company, and American Assets Trust, L.P., a Maryland limited partnership, in favor of PNC BANK, NATIONAL ASSOCIATION, a national banking association c/o Midland Loan Services, Inc., Reference Loan Number 940960335.</w:t>
      </w:r>
    </w:p>
    <w:p>
      <w:pPr>
        <w:spacing w:after="0" w:line="159" w:lineRule="exact"/>
        <w:rPr>
          <w:rFonts w:ascii="Arial" w:cs="Arial" w:eastAsia="Arial" w:hAnsi="Arial"/>
          <w:sz w:val="19"/>
          <w:szCs w:val="19"/>
          <w:color w:val="auto"/>
        </w:rPr>
      </w:pPr>
    </w:p>
    <w:p>
      <w:pPr>
        <w:ind w:firstLine="832"/>
        <w:spacing w:after="0" w:line="302" w:lineRule="auto"/>
        <w:tabs>
          <w:tab w:leader="none" w:pos="1321"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Guaranty, dated as of January 19, 2011, by American Assets Trust, L.P., a Maryland limited partnership, for the benefit of the Federal Home Loan Mortgage Corporation.</w:t>
      </w:r>
    </w:p>
    <w:p>
      <w:pPr>
        <w:spacing w:after="0" w:line="200" w:lineRule="exact"/>
        <w:rPr>
          <w:rFonts w:ascii="Arial" w:cs="Arial" w:eastAsia="Arial" w:hAnsi="Arial"/>
          <w:sz w:val="22"/>
          <w:szCs w:val="22"/>
          <w:color w:val="auto"/>
        </w:rPr>
      </w:pPr>
    </w:p>
    <w:p>
      <w:pPr>
        <w:ind w:firstLine="832"/>
        <w:spacing w:after="0" w:line="302" w:lineRule="auto"/>
        <w:tabs>
          <w:tab w:leader="none" w:pos="1399"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Guaranty, dated as of January 19, 2011, by American Assets Trust, L.P., a Maryland limited partnership, in favor of the Variable Annuity Life Insurance Company, a Texas corporation.</w:t>
      </w:r>
    </w:p>
    <w:p>
      <w:pPr>
        <w:spacing w:after="0" w:line="200" w:lineRule="exact"/>
        <w:rPr>
          <w:rFonts w:ascii="Arial" w:cs="Arial" w:eastAsia="Arial" w:hAnsi="Arial"/>
          <w:sz w:val="22"/>
          <w:szCs w:val="22"/>
          <w:color w:val="auto"/>
        </w:rPr>
      </w:pPr>
    </w:p>
    <w:p>
      <w:pPr>
        <w:ind w:firstLine="832"/>
        <w:spacing w:after="0" w:line="328" w:lineRule="auto"/>
        <w:tabs>
          <w:tab w:leader="none" w:pos="1417" w:val="left"/>
        </w:tabs>
        <w:numPr>
          <w:ilvl w:val="0"/>
          <w:numId w:val="193"/>
        </w:numPr>
        <w:rPr>
          <w:rFonts w:ascii="Arial" w:cs="Arial" w:eastAsia="Arial" w:hAnsi="Arial"/>
          <w:sz w:val="21"/>
          <w:szCs w:val="21"/>
          <w:color w:val="auto"/>
        </w:rPr>
      </w:pPr>
      <w:r>
        <w:rPr>
          <w:rFonts w:ascii="Arial" w:cs="Arial" w:eastAsia="Arial" w:hAnsi="Arial"/>
          <w:sz w:val="21"/>
          <w:szCs w:val="21"/>
          <w:color w:val="auto"/>
        </w:rPr>
        <w:t>The Environmental Indemnity Agreement, dated as of January 19, 2011, among American Assets Trust, L.P., a Maryland limited partnership, in favor of the Variable Annuity Life Insurance Company, a Texas corporation.</w:t>
      </w:r>
    </w:p>
    <w:p>
      <w:pPr>
        <w:spacing w:after="0" w:line="177" w:lineRule="exact"/>
        <w:rPr>
          <w:rFonts w:ascii="Arial" w:cs="Arial" w:eastAsia="Arial" w:hAnsi="Arial"/>
          <w:sz w:val="21"/>
          <w:szCs w:val="21"/>
          <w:color w:val="auto"/>
        </w:rPr>
      </w:pPr>
    </w:p>
    <w:p>
      <w:pPr>
        <w:jc w:val="both"/>
        <w:ind w:firstLine="832"/>
        <w:spacing w:after="0" w:line="346" w:lineRule="auto"/>
        <w:tabs>
          <w:tab w:leader="none" w:pos="1355"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Undertaking and Indemnification Agreement, dated as of January 19, 2011, by American Assets Trust, L.P., a Maryland limited partnership, for the benefit of American Assets, Inc., a California corporation, with respect to any obligations that American Assets, Inc., a California corporation, may have under that certain Guaranty by American Assets, Inc., a California corporation, jointly and severally, for the benefit of Wells Fargo Bank, National Association, a national banking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E-5</w:t>
      </w:r>
    </w:p>
    <w:p>
      <w:pPr>
        <w:sectPr>
          <w:pgSz w:w="11900" w:h="16838" w:orient="portrait"/>
          <w:cols w:equalWidth="0" w:num="1">
            <w:col w:w="11420"/>
          </w:cols>
          <w:pgMar w:left="240" w:top="929" w:right="239" w:bottom="1440" w:gutter="0" w:footer="0" w:header="0"/>
        </w:sectPr>
      </w:pPr>
    </w:p>
    <w:bookmarkStart w:id="263" w:name="page264"/>
    <w:bookmarkEnd w:id="263"/>
    <w:p>
      <w:pPr>
        <w:jc w:val="right"/>
        <w:ind w:right="2139"/>
        <w:spacing w:after="0"/>
        <w:rPr>
          <w:sz w:val="20"/>
          <w:szCs w:val="20"/>
          <w:color w:val="auto"/>
        </w:rPr>
      </w:pPr>
      <w:r>
        <w:rPr>
          <w:rFonts w:ascii="Arial" w:cs="Arial" w:eastAsia="Arial" w:hAnsi="Arial"/>
          <w:sz w:val="22"/>
          <w:szCs w:val="22"/>
          <w:b w:val="1"/>
          <w:bCs w:val="1"/>
          <w:color w:val="auto"/>
        </w:rPr>
        <w:t>INITIAL ELIGIBLE PORTFOLIO PROPERTIES</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RETAIL:</w:t>
      </w:r>
    </w:p>
    <w:p>
      <w:pPr>
        <w:spacing w:after="0" w:line="287" w:lineRule="exact"/>
        <w:rPr>
          <w:sz w:val="20"/>
          <w:szCs w:val="20"/>
          <w:color w:val="auto"/>
        </w:rPr>
      </w:pPr>
    </w:p>
    <w:p>
      <w:pPr>
        <w:ind w:left="400" w:hanging="392"/>
        <w:spacing w:after="0"/>
        <w:tabs>
          <w:tab w:leader="none" w:pos="40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Carmel Country Plaza</w:t>
      </w:r>
    </w:p>
    <w:p>
      <w:pPr>
        <w:spacing w:after="0" w:line="287" w:lineRule="exact"/>
        <w:rPr>
          <w:rFonts w:ascii="Arial" w:cs="Arial" w:eastAsia="Arial" w:hAnsi="Arial"/>
          <w:sz w:val="22"/>
          <w:szCs w:val="22"/>
          <w:color w:val="auto"/>
        </w:rPr>
      </w:pPr>
    </w:p>
    <w:p>
      <w:pPr>
        <w:ind w:left="400" w:hanging="392"/>
        <w:spacing w:after="0"/>
        <w:tabs>
          <w:tab w:leader="none" w:pos="40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Carmel Mountain Plaza</w:t>
      </w:r>
    </w:p>
    <w:p>
      <w:pPr>
        <w:spacing w:after="0" w:line="287" w:lineRule="exact"/>
        <w:rPr>
          <w:rFonts w:ascii="Arial" w:cs="Arial" w:eastAsia="Arial" w:hAnsi="Arial"/>
          <w:sz w:val="22"/>
          <w:szCs w:val="22"/>
          <w:color w:val="auto"/>
        </w:rPr>
      </w:pPr>
    </w:p>
    <w:p>
      <w:pPr>
        <w:ind w:left="400" w:hanging="392"/>
        <w:spacing w:after="0"/>
        <w:tabs>
          <w:tab w:leader="none" w:pos="40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Lomas Santa Fe Plaza</w:t>
      </w:r>
    </w:p>
    <w:p>
      <w:pPr>
        <w:spacing w:after="0" w:line="287" w:lineRule="exact"/>
        <w:rPr>
          <w:rFonts w:ascii="Arial" w:cs="Arial" w:eastAsia="Arial" w:hAnsi="Arial"/>
          <w:sz w:val="22"/>
          <w:szCs w:val="22"/>
          <w:color w:val="auto"/>
        </w:rPr>
      </w:pPr>
    </w:p>
    <w:p>
      <w:pPr>
        <w:ind w:left="400" w:hanging="392"/>
        <w:spacing w:after="0"/>
        <w:tabs>
          <w:tab w:leader="none" w:pos="40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Rancho Carmel Plaza</w:t>
      </w:r>
    </w:p>
    <w:p>
      <w:pPr>
        <w:spacing w:after="0" w:line="287" w:lineRule="exact"/>
        <w:rPr>
          <w:rFonts w:ascii="Arial" w:cs="Arial" w:eastAsia="Arial" w:hAnsi="Arial"/>
          <w:sz w:val="22"/>
          <w:szCs w:val="22"/>
          <w:color w:val="auto"/>
        </w:rPr>
      </w:pPr>
    </w:p>
    <w:p>
      <w:pPr>
        <w:ind w:left="400" w:hanging="392"/>
        <w:spacing w:after="0"/>
        <w:tabs>
          <w:tab w:leader="none" w:pos="40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Alamo Quarry Market</w:t>
      </w:r>
    </w:p>
    <w:p>
      <w:pPr>
        <w:spacing w:after="0" w:line="287" w:lineRule="exact"/>
        <w:rPr>
          <w:rFonts w:ascii="Arial" w:cs="Arial" w:eastAsia="Arial" w:hAnsi="Arial"/>
          <w:sz w:val="22"/>
          <w:szCs w:val="22"/>
          <w:color w:val="auto"/>
        </w:rPr>
      </w:pPr>
    </w:p>
    <w:p>
      <w:pPr>
        <w:ind w:left="400" w:hanging="392"/>
        <w:spacing w:after="0"/>
        <w:tabs>
          <w:tab w:leader="none" w:pos="40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Geary Marketplace</w:t>
      </w:r>
    </w:p>
    <w:p>
      <w:pPr>
        <w:spacing w:after="0" w:line="287" w:lineRule="exact"/>
        <w:rPr>
          <w:rFonts w:ascii="Arial" w:cs="Arial" w:eastAsia="Arial" w:hAnsi="Arial"/>
          <w:sz w:val="22"/>
          <w:szCs w:val="22"/>
          <w:color w:val="auto"/>
        </w:rPr>
      </w:pPr>
    </w:p>
    <w:p>
      <w:pPr>
        <w:ind w:left="400" w:hanging="392"/>
        <w:spacing w:after="0"/>
        <w:tabs>
          <w:tab w:leader="none" w:pos="40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Waikele Center</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OFFICE:</w:t>
      </w:r>
    </w:p>
    <w:p>
      <w:pPr>
        <w:spacing w:after="0" w:line="166" w:lineRule="exact"/>
        <w:rPr>
          <w:sz w:val="20"/>
          <w:szCs w:val="20"/>
          <w:color w:val="auto"/>
        </w:rPr>
      </w:pPr>
    </w:p>
    <w:p>
      <w:pPr>
        <w:ind w:left="400" w:hanging="392"/>
        <w:spacing w:after="0"/>
        <w:tabs>
          <w:tab w:leader="none" w:pos="4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Torrey Reserve – ICW Plaza</w:t>
      </w:r>
    </w:p>
    <w:p>
      <w:pPr>
        <w:spacing w:after="0" w:line="165" w:lineRule="exact"/>
        <w:rPr>
          <w:rFonts w:ascii="Arial" w:cs="Arial" w:eastAsia="Arial" w:hAnsi="Arial"/>
          <w:sz w:val="22"/>
          <w:szCs w:val="22"/>
          <w:color w:val="auto"/>
        </w:rPr>
      </w:pPr>
    </w:p>
    <w:p>
      <w:pPr>
        <w:ind w:left="400" w:hanging="392"/>
        <w:spacing w:after="0"/>
        <w:tabs>
          <w:tab w:leader="none" w:pos="4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Torrey Reserve – South Court</w:t>
      </w:r>
    </w:p>
    <w:p>
      <w:pPr>
        <w:spacing w:after="0" w:line="165" w:lineRule="exact"/>
        <w:rPr>
          <w:rFonts w:ascii="Arial" w:cs="Arial" w:eastAsia="Arial" w:hAnsi="Arial"/>
          <w:sz w:val="22"/>
          <w:szCs w:val="22"/>
          <w:color w:val="auto"/>
        </w:rPr>
      </w:pPr>
    </w:p>
    <w:p>
      <w:pPr>
        <w:ind w:left="400" w:hanging="392"/>
        <w:spacing w:after="0"/>
        <w:tabs>
          <w:tab w:leader="none" w:pos="4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Torrey Reserve – Daycare</w:t>
      </w:r>
    </w:p>
    <w:p>
      <w:pPr>
        <w:spacing w:after="0" w:line="165" w:lineRule="exact"/>
        <w:rPr>
          <w:rFonts w:ascii="Arial" w:cs="Arial" w:eastAsia="Arial" w:hAnsi="Arial"/>
          <w:sz w:val="22"/>
          <w:szCs w:val="22"/>
          <w:color w:val="auto"/>
        </w:rPr>
      </w:pPr>
    </w:p>
    <w:p>
      <w:pPr>
        <w:ind w:left="400" w:hanging="392"/>
        <w:spacing w:after="0"/>
        <w:tabs>
          <w:tab w:leader="none" w:pos="4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Torrey Reserve – Building 6</w:t>
      </w:r>
    </w:p>
    <w:p>
      <w:pPr>
        <w:spacing w:after="0" w:line="165" w:lineRule="exact"/>
        <w:rPr>
          <w:rFonts w:ascii="Arial" w:cs="Arial" w:eastAsia="Arial" w:hAnsi="Arial"/>
          <w:sz w:val="22"/>
          <w:szCs w:val="22"/>
          <w:color w:val="auto"/>
        </w:rPr>
      </w:pPr>
    </w:p>
    <w:p>
      <w:pPr>
        <w:ind w:left="400" w:hanging="392"/>
        <w:spacing w:after="0"/>
        <w:tabs>
          <w:tab w:leader="none" w:pos="4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Lloyd District Portfolio</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MULTIFAMILY:</w:t>
      </w:r>
    </w:p>
    <w:p>
      <w:pPr>
        <w:spacing w:after="0" w:line="166" w:lineRule="exact"/>
        <w:rPr>
          <w:sz w:val="20"/>
          <w:szCs w:val="20"/>
          <w:color w:val="auto"/>
        </w:rPr>
      </w:pPr>
    </w:p>
    <w:p>
      <w:pPr>
        <w:ind w:left="400" w:hanging="392"/>
        <w:spacing w:after="0"/>
        <w:tabs>
          <w:tab w:leader="none" w:pos="4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Santa Fe RV Park</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MIXED USE:</w:t>
      </w:r>
    </w:p>
    <w:p>
      <w:pPr>
        <w:spacing w:after="0" w:line="166" w:lineRule="exact"/>
        <w:rPr>
          <w:sz w:val="20"/>
          <w:szCs w:val="20"/>
          <w:color w:val="auto"/>
        </w:rPr>
      </w:pPr>
    </w:p>
    <w:p>
      <w:pPr>
        <w:ind w:left="400" w:hanging="392"/>
        <w:spacing w:after="0"/>
        <w:tabs>
          <w:tab w:leader="none" w:pos="40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Waikiki Beach Walk – Embassy Suites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SCHEDULE F</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(to Note Purchase Agreement)</w:t>
      </w:r>
    </w:p>
    <w:sectPr>
      <w:pgSz w:w="11900" w:h="16838" w:orient="portrait"/>
      <w:cols w:equalWidth="0" w:num="1">
        <w:col w:w="10219"/>
      </w:cols>
      <w:pgMar w:left="240" w:top="6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72BD23"/>
    <w:multiLevelType w:val="hybridMultilevel"/>
    <w:lvl w:ilvl="0">
      <w:lvlJc w:val="left"/>
      <w:lvlText w:val="o"/>
      <w:numFmt w:val="bullet"/>
      <w:start w:val="1"/>
    </w:lvl>
  </w:abstractNum>
  <w:abstractNum w:abstractNumId="1">
    <w:nsid w:val="6FC75AF8"/>
    <w:multiLevelType w:val="hybridMultilevel"/>
    <w:lvl w:ilvl="0">
      <w:lvlJc w:val="left"/>
      <w:lvlText w:val="(%1)"/>
      <w:numFmt w:val="lowerRoman"/>
      <w:start w:val="1"/>
    </w:lvl>
  </w:abstractNum>
  <w:abstractNum w:abstractNumId="2">
    <w:nsid w:val="6A5F7029"/>
    <w:multiLevelType w:val="hybridMultilevel"/>
    <w:lvl w:ilvl="0">
      <w:lvlJc w:val="left"/>
      <w:lvlText w:val="(%1)"/>
      <w:numFmt w:val="lowerRoman"/>
      <w:start w:val="2"/>
    </w:lvl>
    <w:lvl w:ilvl="1">
      <w:lvlJc w:val="left"/>
      <w:lvlText w:val="-"/>
      <w:numFmt w:val="bullet"/>
      <w:start w:val="1"/>
    </w:lvl>
  </w:abstractNum>
  <w:abstractNum w:abstractNumId="3">
    <w:nsid w:val="7D5E18F8"/>
    <w:multiLevelType w:val="hybridMultilevel"/>
    <w:lvl w:ilvl="0">
      <w:lvlJc w:val="left"/>
      <w:lvlText w:val="(%1)"/>
      <w:numFmt w:val="lowerLetter"/>
      <w:start w:val="1"/>
    </w:lvl>
  </w:abstractNum>
  <w:abstractNum w:abstractNumId="4">
    <w:nsid w:val="5F3534A4"/>
    <w:multiLevelType w:val="hybridMultilevel"/>
    <w:lvl w:ilvl="0">
      <w:lvlJc w:val="left"/>
      <w:lvlText w:val="(%1)"/>
      <w:numFmt w:val="lowerLetter"/>
      <w:start w:val="2"/>
    </w:lvl>
  </w:abstractNum>
  <w:abstractNum w:abstractNumId="5">
    <w:nsid w:val="73A1821B"/>
    <w:multiLevelType w:val="hybridMultilevel"/>
    <w:lvl w:ilvl="0">
      <w:lvlJc w:val="left"/>
      <w:lvlText w:val="(%1)"/>
      <w:numFmt w:val="lowerLetter"/>
      <w:start w:val="2"/>
    </w:lvl>
  </w:abstractNum>
  <w:abstractNum w:abstractNumId="6">
    <w:nsid w:val="7DE67713"/>
    <w:multiLevelType w:val="hybridMultilevel"/>
    <w:lvl w:ilvl="0">
      <w:lvlJc w:val="left"/>
      <w:lvlText w:val="(%1)"/>
      <w:numFmt w:val="lowerLetter"/>
      <w:start w:val="2"/>
    </w:lvl>
  </w:abstractNum>
  <w:abstractNum w:abstractNumId="7">
    <w:nsid w:val="555C55B5"/>
    <w:multiLevelType w:val="hybridMultilevel"/>
    <w:lvl w:ilvl="0">
      <w:lvlJc w:val="left"/>
      <w:lvlText w:val="(%1)"/>
      <w:numFmt w:val="lowerLetter"/>
      <w:start w:val="1"/>
    </w:lvl>
  </w:abstractNum>
  <w:abstractNum w:abstractNumId="8">
    <w:nsid w:val="3FA62ACA"/>
    <w:multiLevelType w:val="hybridMultilevel"/>
    <w:lvl w:ilvl="0">
      <w:lvlJc w:val="left"/>
      <w:lvlText w:val="(%1)"/>
      <w:numFmt w:val="lowerLetter"/>
      <w:start w:val="35"/>
    </w:lvl>
    <w:lvl w:ilvl="1">
      <w:lvlJc w:val="left"/>
      <w:lvlText w:val="(%2)"/>
      <w:numFmt w:val="lowerLetter"/>
      <w:start w:val="2"/>
    </w:lvl>
  </w:abstractNum>
  <w:abstractNum w:abstractNumId="9">
    <w:nsid w:val="14FCE74E"/>
    <w:multiLevelType w:val="hybridMultilevel"/>
    <w:lvl w:ilvl="0">
      <w:lvlJc w:val="left"/>
      <w:lvlText w:val="(%1)"/>
      <w:numFmt w:val="lowerLetter"/>
      <w:start w:val="4"/>
    </w:lvl>
  </w:abstractNum>
  <w:abstractNum w:abstractNumId="10">
    <w:nsid w:val="6A3DD3E8"/>
    <w:multiLevelType w:val="hybridMultilevel"/>
    <w:lvl w:ilvl="0">
      <w:lvlJc w:val="left"/>
      <w:lvlText w:val="(%1)"/>
      <w:numFmt w:val="lowerLetter"/>
      <w:start w:val="2"/>
    </w:lvl>
  </w:abstractNum>
  <w:abstractNum w:abstractNumId="11">
    <w:nsid w:val="71C91298"/>
    <w:multiLevelType w:val="hybridMultilevel"/>
    <w:lvl w:ilvl="0">
      <w:lvlJc w:val="left"/>
      <w:lvlText w:val="(%1)"/>
      <w:numFmt w:val="lowerLetter"/>
      <w:start w:val="2"/>
    </w:lvl>
  </w:abstractNum>
  <w:abstractNum w:abstractNumId="12">
    <w:nsid w:val="9DAF632"/>
    <w:multiLevelType w:val="hybridMultilevel"/>
    <w:lvl w:ilvl="0">
      <w:lvlJc w:val="left"/>
      <w:lvlText w:val="(%1)"/>
      <w:numFmt w:val="lowerLetter"/>
      <w:start w:val="2"/>
    </w:lvl>
  </w:abstractNum>
  <w:abstractNum w:abstractNumId="13">
    <w:nsid w:val="53299938"/>
    <w:multiLevelType w:val="hybridMultilevel"/>
    <w:lvl w:ilvl="0">
      <w:lvlJc w:val="left"/>
      <w:lvlText w:val="(%1)"/>
      <w:numFmt w:val="lowerLetter"/>
      <w:start w:val="3"/>
    </w:lvl>
  </w:abstractNum>
  <w:abstractNum w:abstractNumId="14">
    <w:nsid w:val="1FBFE8E0"/>
    <w:multiLevelType w:val="hybridMultilevel"/>
    <w:lvl w:ilvl="0">
      <w:lvlJc w:val="left"/>
      <w:lvlText w:val="(%1)"/>
      <w:numFmt w:val="lowerLetter"/>
      <w:start w:val="2"/>
    </w:lvl>
  </w:abstractNum>
  <w:abstractNum w:abstractNumId="15">
    <w:nsid w:val="5092CA79"/>
    <w:multiLevelType w:val="hybridMultilevel"/>
    <w:lvl w:ilvl="0">
      <w:lvlJc w:val="left"/>
      <w:lvlText w:val="(%1)"/>
      <w:numFmt w:val="lowerRoman"/>
      <w:start w:val="1"/>
    </w:lvl>
  </w:abstractNum>
  <w:abstractNum w:abstractNumId="16">
    <w:nsid w:val="1D545C4D"/>
    <w:multiLevelType w:val="hybridMultilevel"/>
    <w:lvl w:ilvl="0">
      <w:lvlJc w:val="left"/>
      <w:lvlText w:val="(%1)"/>
      <w:numFmt w:val="lowerLetter"/>
      <w:start w:val="24"/>
    </w:lvl>
    <w:lvl w:ilvl="1">
      <w:lvlJc w:val="left"/>
      <w:lvlText w:val="(%2)"/>
      <w:numFmt w:val="lowerLetter"/>
      <w:start w:val="2"/>
    </w:lvl>
  </w:abstractNum>
  <w:abstractNum w:abstractNumId="17">
    <w:nsid w:val="59ADEA3D"/>
    <w:multiLevelType w:val="hybridMultilevel"/>
    <w:lvl w:ilvl="0">
      <w:lvlJc w:val="left"/>
      <w:lvlText w:val="(%1)"/>
      <w:numFmt w:val="decimal"/>
      <w:start w:val="2"/>
    </w:lvl>
  </w:abstractNum>
  <w:abstractNum w:abstractNumId="18">
    <w:nsid w:val="288F1A34"/>
    <w:multiLevelType w:val="hybridMultilevel"/>
    <w:lvl w:ilvl="0">
      <w:lvlJc w:val="left"/>
      <w:lvlText w:val="(%1)"/>
      <w:numFmt w:val="lowerLetter"/>
      <w:start w:val="2"/>
    </w:lvl>
  </w:abstractNum>
  <w:abstractNum w:abstractNumId="19">
    <w:nsid w:val="2A155DBC"/>
    <w:multiLevelType w:val="hybridMultilevel"/>
    <w:lvl w:ilvl="0">
      <w:lvlJc w:val="left"/>
      <w:lvlText w:val="(%1)"/>
      <w:numFmt w:val="lowerLetter"/>
      <w:start w:val="3"/>
    </w:lvl>
  </w:abstractNum>
  <w:abstractNum w:abstractNumId="20">
    <w:nsid w:val="1D9F6E5F"/>
    <w:multiLevelType w:val="hybridMultilevel"/>
    <w:lvl w:ilvl="0">
      <w:lvlJc w:val="left"/>
      <w:lvlText w:val="(%1)"/>
      <w:numFmt w:val="lowerLetter"/>
      <w:start w:val="1"/>
    </w:lvl>
  </w:abstractNum>
  <w:abstractNum w:abstractNumId="21">
    <w:nsid w:val="97E1B4E"/>
    <w:multiLevelType w:val="hybridMultilevel"/>
    <w:lvl w:ilvl="0">
      <w:lvlJc w:val="left"/>
      <w:lvlText w:val="(%1)"/>
      <w:numFmt w:val="lowerLetter"/>
      <w:start w:val="5"/>
    </w:lvl>
  </w:abstractNum>
  <w:abstractNum w:abstractNumId="22">
    <w:nsid w:val="51088277"/>
    <w:multiLevelType w:val="hybridMultilevel"/>
    <w:lvl w:ilvl="0">
      <w:lvlJc w:val="left"/>
      <w:lvlText w:val="(%1)"/>
      <w:numFmt w:val="lowerLetter"/>
      <w:start w:val="1"/>
    </w:lvl>
  </w:abstractNum>
  <w:abstractNum w:abstractNumId="23">
    <w:nsid w:val="1CA0C5FA"/>
    <w:multiLevelType w:val="hybridMultilevel"/>
    <w:lvl w:ilvl="0">
      <w:lvlJc w:val="left"/>
      <w:lvlText w:val="(%1)"/>
      <w:numFmt w:val="lowerRoman"/>
      <w:start w:val="1"/>
    </w:lvl>
  </w:abstractNum>
  <w:abstractNum w:abstractNumId="24">
    <w:nsid w:val="53584BCB"/>
    <w:multiLevelType w:val="hybridMultilevel"/>
    <w:lvl w:ilvl="0">
      <w:lvlJc w:val="left"/>
      <w:lvlText w:val="(%1)"/>
      <w:numFmt w:val="lowerRoman"/>
      <w:start w:val="2"/>
    </w:lvl>
  </w:abstractNum>
  <w:abstractNum w:abstractNumId="25">
    <w:nsid w:val="415E286C"/>
    <w:multiLevelType w:val="hybridMultilevel"/>
    <w:lvl w:ilvl="0">
      <w:lvlJc w:val="left"/>
      <w:lvlText w:val="(%1)"/>
      <w:numFmt w:val="lowerLetter"/>
      <w:start w:val="2"/>
    </w:lvl>
    <w:lvl w:ilvl="1">
      <w:lvlJc w:val="left"/>
      <w:lvlText w:val="(%2)"/>
      <w:numFmt w:val="lowerRoman"/>
      <w:start w:val="1"/>
    </w:lvl>
  </w:abstractNum>
  <w:abstractNum w:abstractNumId="26">
    <w:nsid w:val="7C58FD05"/>
    <w:multiLevelType w:val="hybridMultilevel"/>
    <w:lvl w:ilvl="0">
      <w:lvlJc w:val="left"/>
      <w:lvlText w:val="(%1)"/>
      <w:numFmt w:val="lowerLetter"/>
      <w:start w:val="3"/>
    </w:lvl>
  </w:abstractNum>
  <w:abstractNum w:abstractNumId="27">
    <w:nsid w:val="23D86AAC"/>
    <w:multiLevelType w:val="hybridMultilevel"/>
    <w:lvl w:ilvl="0">
      <w:lvlJc w:val="left"/>
      <w:lvlText w:val="%1"/>
      <w:numFmt w:val="lowerLetter"/>
      <w:start w:val="1"/>
    </w:lvl>
    <w:lvl w:ilvl="1">
      <w:lvlJc w:val="left"/>
      <w:lvlText w:val="(%2)"/>
      <w:numFmt w:val="lowerRoman"/>
      <w:start w:val="1"/>
    </w:lvl>
  </w:abstractNum>
  <w:abstractNum w:abstractNumId="28">
    <w:nsid w:val="45E6D486"/>
    <w:multiLevelType w:val="hybridMultilevel"/>
    <w:lvl w:ilvl="0">
      <w:lvlJc w:val="left"/>
      <w:lvlText w:val="(%1)"/>
      <w:numFmt w:val="lowerLetter"/>
      <w:start w:val="6"/>
    </w:lvl>
    <w:lvl w:ilvl="1">
      <w:lvlJc w:val="left"/>
      <w:lvlText w:val="%2"/>
      <w:numFmt w:val="lowerRoman"/>
      <w:start w:val="1"/>
    </w:lvl>
  </w:abstractNum>
  <w:abstractNum w:abstractNumId="29">
    <w:nsid w:val="5C10FE21"/>
    <w:multiLevelType w:val="hybridMultilevel"/>
    <w:lvl w:ilvl="0">
      <w:lvlJc w:val="left"/>
      <w:lvlText w:val="%1"/>
      <w:numFmt w:val="lowerLetter"/>
      <w:start w:val="1"/>
    </w:lvl>
    <w:lvl w:ilvl="1">
      <w:lvlJc w:val="left"/>
      <w:lvlText w:val="(%2)"/>
      <w:numFmt w:val="lowerLetter"/>
      <w:start w:val="9"/>
    </w:lvl>
  </w:abstractNum>
  <w:abstractNum w:abstractNumId="30">
    <w:nsid w:val="E7FFA2B"/>
    <w:multiLevelType w:val="hybridMultilevel"/>
    <w:lvl w:ilvl="0">
      <w:lvlJc w:val="left"/>
      <w:lvlText w:val="(%1)"/>
      <w:numFmt w:val="lowerLetter"/>
      <w:start w:val="35"/>
    </w:lvl>
    <w:lvl w:ilvl="1">
      <w:lvlJc w:val="left"/>
      <w:lvlText w:val="%2"/>
      <w:numFmt w:val="lowerLetter"/>
      <w:start w:val="1"/>
    </w:lvl>
  </w:abstractNum>
  <w:abstractNum w:abstractNumId="31">
    <w:nsid w:val="3C5991AA"/>
    <w:multiLevelType w:val="hybridMultilevel"/>
    <w:lvl w:ilvl="0">
      <w:lvlJc w:val="left"/>
      <w:lvlText w:val="(%1)"/>
      <w:numFmt w:val="lowerLetter"/>
      <w:start w:val="1"/>
    </w:lvl>
  </w:abstractNum>
  <w:abstractNum w:abstractNumId="32">
    <w:nsid w:val="4BD8591A"/>
    <w:multiLevelType w:val="hybridMultilevel"/>
    <w:lvl w:ilvl="0">
      <w:lvlJc w:val="left"/>
      <w:lvlText w:val="(%1)"/>
      <w:numFmt w:val="lowerLetter"/>
      <w:start w:val="2"/>
    </w:lvl>
  </w:abstractNum>
  <w:abstractNum w:abstractNumId="33">
    <w:nsid w:val="78DF6A55"/>
    <w:multiLevelType w:val="hybridMultilevel"/>
    <w:lvl w:ilvl="0">
      <w:lvlJc w:val="left"/>
      <w:lvlText w:val="(%1)"/>
      <w:numFmt w:val="lowerLetter"/>
      <w:start w:val="1"/>
    </w:lvl>
  </w:abstractNum>
  <w:abstractNum w:abstractNumId="34">
    <w:nsid w:val="39B7AAA2"/>
    <w:multiLevelType w:val="hybridMultilevel"/>
    <w:lvl w:ilvl="0">
      <w:lvlJc w:val="left"/>
      <w:lvlText w:val="(%1)"/>
      <w:numFmt w:val="lowerLetter"/>
      <w:start w:val="2"/>
    </w:lvl>
  </w:abstractNum>
  <w:abstractNum w:abstractNumId="35">
    <w:nsid w:val="2B0D8DBE"/>
    <w:multiLevelType w:val="hybridMultilevel"/>
    <w:lvl w:ilvl="0">
      <w:lvlJc w:val="left"/>
      <w:lvlText w:val="(%1)"/>
      <w:numFmt w:val="lowerLetter"/>
      <w:start w:val="3"/>
    </w:lvl>
    <w:lvl w:ilvl="1">
      <w:lvlJc w:val="left"/>
      <w:lvlText w:val="(%2)"/>
      <w:numFmt w:val="lowerRoman"/>
      <w:start w:val="1"/>
    </w:lvl>
  </w:abstractNum>
  <w:abstractNum w:abstractNumId="36">
    <w:nsid w:val="6C80EC70"/>
    <w:multiLevelType w:val="hybridMultilevel"/>
    <w:lvl w:ilvl="0">
      <w:lvlJc w:val="left"/>
      <w:lvlText w:val="(%1)"/>
      <w:numFmt w:val="lowerLetter"/>
      <w:start w:val="2"/>
    </w:lvl>
  </w:abstractNum>
  <w:abstractNum w:abstractNumId="37">
    <w:nsid w:val="379E21B5"/>
    <w:multiLevelType w:val="hybridMultilevel"/>
    <w:lvl w:ilvl="0">
      <w:lvlJc w:val="left"/>
      <w:lvlText w:val="(%1)"/>
      <w:numFmt w:val="lowerLetter"/>
      <w:start w:val="2"/>
    </w:lvl>
  </w:abstractNum>
  <w:abstractNum w:abstractNumId="38">
    <w:nsid w:val="69E373"/>
    <w:multiLevelType w:val="hybridMultilevel"/>
    <w:lvl w:ilvl="0">
      <w:lvlJc w:val="left"/>
      <w:lvlText w:val="(%1)"/>
      <w:numFmt w:val="lowerLetter"/>
      <w:start w:val="1"/>
    </w:lvl>
  </w:abstractNum>
  <w:abstractNum w:abstractNumId="39">
    <w:nsid w:val="2C27173B"/>
    <w:multiLevelType w:val="hybridMultilevel"/>
    <w:lvl w:ilvl="0">
      <w:lvlJc w:val="left"/>
      <w:lvlText w:val="(%1)"/>
      <w:numFmt w:val="lowerLetter"/>
      <w:start w:val="1"/>
    </w:lvl>
  </w:abstractNum>
  <w:abstractNum w:abstractNumId="40">
    <w:nsid w:val="4C9B0904"/>
    <w:multiLevelType w:val="hybridMultilevel"/>
    <w:lvl w:ilvl="0">
      <w:lvlJc w:val="left"/>
      <w:lvlText w:val="(%1)"/>
      <w:numFmt w:val="lowerLetter"/>
      <w:start w:val="3"/>
    </w:lvl>
  </w:abstractNum>
  <w:abstractNum w:abstractNumId="41">
    <w:nsid w:val="6AA7B75C"/>
    <w:multiLevelType w:val="hybridMultilevel"/>
    <w:lvl w:ilvl="0">
      <w:lvlJc w:val="left"/>
      <w:lvlText w:val="(%1)"/>
      <w:numFmt w:val="lowerRoman"/>
      <w:start w:val="1"/>
    </w:lvl>
  </w:abstractNum>
  <w:abstractNum w:abstractNumId="42">
    <w:nsid w:val="1DF029D3"/>
    <w:multiLevelType w:val="hybridMultilevel"/>
    <w:lvl w:ilvl="0">
      <w:lvlJc w:val="left"/>
      <w:lvlText w:val="%1"/>
      <w:numFmt w:val="lowerLetter"/>
      <w:start w:val="1"/>
    </w:lvl>
    <w:lvl w:ilvl="1">
      <w:lvlJc w:val="left"/>
      <w:lvlText w:val="(%2)"/>
      <w:numFmt w:val="lowerRoman"/>
      <w:start w:val="3"/>
    </w:lvl>
  </w:abstractNum>
  <w:abstractNum w:abstractNumId="43">
    <w:nsid w:val="5675FF36"/>
    <w:multiLevelType w:val="hybridMultilevel"/>
    <w:lvl w:ilvl="0">
      <w:lvlJc w:val="left"/>
      <w:lvlText w:val="(%1)"/>
      <w:numFmt w:val="lowerLetter"/>
      <w:start w:val="2"/>
    </w:lvl>
    <w:lvl w:ilvl="1">
      <w:lvlJc w:val="left"/>
      <w:lvlText w:val="%2"/>
      <w:numFmt w:val="lowerRoman"/>
      <w:start w:val="1"/>
    </w:lvl>
  </w:abstractNum>
  <w:abstractNum w:abstractNumId="44">
    <w:nsid w:val="3DD15094"/>
    <w:multiLevelType w:val="hybridMultilevel"/>
    <w:lvl w:ilvl="0">
      <w:lvlJc w:val="left"/>
      <w:lvlText w:val="(%1)"/>
      <w:numFmt w:val="lowerLetter"/>
      <w:start w:val="1"/>
    </w:lvl>
  </w:abstractNum>
  <w:abstractNum w:abstractNumId="45">
    <w:nsid w:val="3DB012B3"/>
    <w:multiLevelType w:val="hybridMultilevel"/>
    <w:lvl w:ilvl="0">
      <w:lvlJc w:val="left"/>
      <w:lvlText w:val="(%1)"/>
      <w:numFmt w:val="lowerLetter"/>
      <w:start w:val="8"/>
    </w:lvl>
  </w:abstractNum>
  <w:abstractNum w:abstractNumId="46">
    <w:nsid w:val="2708C9AF"/>
    <w:multiLevelType w:val="hybridMultilevel"/>
    <w:lvl w:ilvl="0">
      <w:lvlJc w:val="left"/>
      <w:lvlText w:val="(%1)"/>
      <w:numFmt w:val="lowerLetter"/>
      <w:start w:val="14"/>
    </w:lvl>
  </w:abstractNum>
  <w:abstractNum w:abstractNumId="47">
    <w:nsid w:val="5B25ACE2"/>
    <w:multiLevelType w:val="hybridMultilevel"/>
    <w:lvl w:ilvl="0">
      <w:lvlJc w:val="left"/>
      <w:lvlText w:val="%1"/>
      <w:numFmt w:val="upperLetter"/>
      <w:start w:val="1"/>
    </w:lvl>
    <w:lvl w:ilvl="1">
      <w:lvlJc w:val="left"/>
      <w:lvlText w:val="(%2)"/>
      <w:numFmt w:val="lowerLetter"/>
      <w:start w:val="1"/>
    </w:lvl>
  </w:abstractNum>
  <w:abstractNum w:abstractNumId="48">
    <w:nsid w:val="175DFCF0"/>
    <w:multiLevelType w:val="hybridMultilevel"/>
    <w:lvl w:ilvl="0">
      <w:lvlJc w:val="left"/>
      <w:lvlText w:val="(%1)"/>
      <w:numFmt w:val="upperLetter"/>
      <w:start w:val="1"/>
    </w:lvl>
    <w:lvl w:ilvl="1">
      <w:lvlJc w:val="left"/>
      <w:lvlText w:val="(%2)"/>
      <w:numFmt w:val="lowerLetter"/>
      <w:start w:val="3"/>
    </w:lvl>
  </w:abstractNum>
  <w:abstractNum w:abstractNumId="49">
    <w:nsid w:val="4F97E3E4"/>
    <w:multiLevelType w:val="hybridMultilevel"/>
    <w:lvl w:ilvl="0">
      <w:lvlJc w:val="left"/>
      <w:lvlText w:val="%1"/>
      <w:numFmt w:val="lowerLetter"/>
      <w:start w:val="1"/>
    </w:lvl>
    <w:lvl w:ilvl="1">
      <w:lvlJc w:val="left"/>
      <w:lvlText w:val="(%2)"/>
      <w:numFmt w:val="lowerLetter"/>
      <w:start w:val="1"/>
    </w:lvl>
  </w:abstractNum>
  <w:abstractNum w:abstractNumId="50">
    <w:nsid w:val="53B0A9E"/>
    <w:multiLevelType w:val="hybridMultilevel"/>
    <w:lvl w:ilvl="0">
      <w:lvlJc w:val="left"/>
      <w:lvlText w:val="(%1)"/>
      <w:numFmt w:val="lowerLetter"/>
      <w:start w:val="22"/>
    </w:lvl>
    <w:lvl w:ilvl="1">
      <w:lvlJc w:val="left"/>
      <w:lvlText w:val="(%2)"/>
      <w:numFmt w:val="lowerLetter"/>
      <w:start w:val="3"/>
    </w:lvl>
  </w:abstractNum>
  <w:abstractNum w:abstractNumId="51">
    <w:nsid w:val="34FD6B4F"/>
    <w:multiLevelType w:val="hybridMultilevel"/>
    <w:lvl w:ilvl="0">
      <w:lvlJc w:val="left"/>
      <w:lvlText w:val="(%1)"/>
      <w:numFmt w:val="lowerLetter"/>
      <w:start w:val="9"/>
    </w:lvl>
    <w:lvl w:ilvl="1">
      <w:lvlJc w:val="left"/>
      <w:lvlText w:val="%2"/>
      <w:numFmt w:val="lowerLetter"/>
      <w:start w:val="1"/>
    </w:lvl>
  </w:abstractNum>
  <w:abstractNum w:abstractNumId="52">
    <w:nsid w:val="5915FF32"/>
    <w:multiLevelType w:val="hybridMultilevel"/>
    <w:lvl w:ilvl="0">
      <w:lvlJc w:val="left"/>
      <w:lvlText w:val="%1"/>
      <w:numFmt w:val="lowerLetter"/>
      <w:start w:val="1"/>
    </w:lvl>
    <w:lvl w:ilvl="1">
      <w:lvlJc w:val="left"/>
      <w:lvlText w:val="(%2)"/>
      <w:numFmt w:val="lowerLetter"/>
      <w:start w:val="4"/>
    </w:lvl>
  </w:abstractNum>
  <w:abstractNum w:abstractNumId="53">
    <w:nsid w:val="56438D15"/>
    <w:multiLevelType w:val="hybridMultilevel"/>
    <w:lvl w:ilvl="0">
      <w:lvlJc w:val="left"/>
      <w:lvlText w:val="(%1)"/>
      <w:numFmt w:val="lowerLetter"/>
      <w:start w:val="61"/>
    </w:lvl>
    <w:lvl w:ilvl="1">
      <w:lvlJc w:val="left"/>
      <w:lvlText w:val="(%2)"/>
      <w:numFmt w:val="lowerLetter"/>
      <w:start w:val="7"/>
    </w:lvl>
  </w:abstractNum>
  <w:abstractNum w:abstractNumId="54">
    <w:nsid w:val="519E3149"/>
    <w:multiLevelType w:val="hybridMultilevel"/>
    <w:lvl w:ilvl="0">
      <w:lvlJc w:val="left"/>
      <w:lvlText w:val="(%1)"/>
      <w:numFmt w:val="lowerLetter"/>
      <w:start w:val="10"/>
    </w:lvl>
  </w:abstractNum>
  <w:abstractNum w:abstractNumId="55">
    <w:nsid w:val="2C6E4AFD"/>
    <w:multiLevelType w:val="hybridMultilevel"/>
    <w:lvl w:ilvl="0">
      <w:lvlJc w:val="left"/>
      <w:lvlText w:val="(%1)"/>
      <w:numFmt w:val="lowerLetter"/>
      <w:start w:val="1"/>
    </w:lvl>
  </w:abstractNum>
  <w:abstractNum w:abstractNumId="56">
    <w:nsid w:val="17A1B582"/>
    <w:multiLevelType w:val="hybridMultilevel"/>
    <w:lvl w:ilvl="0">
      <w:lvlJc w:val="left"/>
      <w:lvlText w:val="%1"/>
      <w:numFmt w:val="lowerLetter"/>
      <w:start w:val="1"/>
    </w:lvl>
    <w:lvl w:ilvl="1">
      <w:lvlJc w:val="left"/>
      <w:lvlText w:val="(%2)"/>
      <w:numFmt w:val="lowerLetter"/>
      <w:start w:val="1"/>
    </w:lvl>
  </w:abstractNum>
  <w:abstractNum w:abstractNumId="57">
    <w:nsid w:val="4DF72E4E"/>
    <w:multiLevelType w:val="hybridMultilevel"/>
    <w:lvl w:ilvl="0">
      <w:lvlJc w:val="left"/>
      <w:lvlText w:val="(%1)"/>
      <w:numFmt w:val="lowerLetter"/>
      <w:start w:val="9"/>
    </w:lvl>
    <w:lvl w:ilvl="1">
      <w:lvlJc w:val="left"/>
      <w:lvlText w:val="(%2)"/>
      <w:numFmt w:val="lowerLetter"/>
      <w:start w:val="2"/>
    </w:lvl>
  </w:abstractNum>
  <w:abstractNum w:abstractNumId="58">
    <w:nsid w:val="5046B5A9"/>
    <w:multiLevelType w:val="hybridMultilevel"/>
    <w:lvl w:ilvl="0">
      <w:lvlJc w:val="left"/>
      <w:lvlText w:val="%1"/>
      <w:numFmt w:val="lowerLetter"/>
      <w:start w:val="1"/>
    </w:lvl>
    <w:lvl w:ilvl="1">
      <w:lvlJc w:val="left"/>
      <w:lvlText w:val="(%2)"/>
      <w:numFmt w:val="lowerLetter"/>
      <w:start w:val="1"/>
    </w:lvl>
  </w:abstractNum>
  <w:abstractNum w:abstractNumId="59">
    <w:nsid w:val="5D888A08"/>
    <w:multiLevelType w:val="hybridMultilevel"/>
    <w:lvl w:ilvl="0">
      <w:lvlJc w:val="left"/>
      <w:lvlText w:val="(%1)"/>
      <w:numFmt w:val="lowerLetter"/>
      <w:start w:val="35"/>
    </w:lvl>
    <w:lvl w:ilvl="1">
      <w:lvlJc w:val="left"/>
      <w:lvlText w:val="(%2)"/>
      <w:numFmt w:val="lowerLetter"/>
      <w:start w:val="5"/>
    </w:lvl>
  </w:abstractNum>
  <w:abstractNum w:abstractNumId="60">
    <w:nsid w:val="2A082C70"/>
    <w:multiLevelType w:val="hybridMultilevel"/>
    <w:lvl w:ilvl="0">
      <w:lvlJc w:val="left"/>
      <w:lvlText w:val="(%1)"/>
      <w:numFmt w:val="lowerLetter"/>
      <w:start w:val="24"/>
    </w:lvl>
    <w:lvl w:ilvl="1">
      <w:lvlJc w:val="left"/>
      <w:lvlText w:val="%2"/>
      <w:numFmt w:val="lowerLetter"/>
      <w:start w:val="1"/>
    </w:lvl>
  </w:abstractNum>
  <w:abstractNum w:abstractNumId="61">
    <w:nsid w:val="5EC6AFD4"/>
    <w:multiLevelType w:val="hybridMultilevel"/>
    <w:lvl w:ilvl="0">
      <w:lvlJc w:val="left"/>
      <w:lvlText w:val="(%1)"/>
      <w:numFmt w:val="lowerLetter"/>
      <w:start w:val="61"/>
    </w:lvl>
    <w:lvl w:ilvl="1">
      <w:lvlJc w:val="left"/>
      <w:lvlText w:val="%2"/>
      <w:numFmt w:val="lowerLetter"/>
      <w:start w:val="1"/>
    </w:lvl>
  </w:abstractNum>
  <w:abstractNum w:abstractNumId="62">
    <w:nsid w:val="19E21BB2"/>
    <w:multiLevelType w:val="hybridMultilevel"/>
    <w:lvl w:ilvl="0">
      <w:lvlJc w:val="left"/>
      <w:lvlText w:val="(%1)"/>
      <w:numFmt w:val="lowerLetter"/>
      <w:start w:val="1"/>
    </w:lvl>
    <w:lvl w:ilvl="1">
      <w:lvlJc w:val="left"/>
      <w:lvlText w:val="%2"/>
      <w:numFmt w:val="lowerLetter"/>
      <w:start w:val="1"/>
    </w:lvl>
  </w:abstractNum>
  <w:abstractNum w:abstractNumId="63">
    <w:nsid w:val="75E0858A"/>
    <w:multiLevelType w:val="hybridMultilevel"/>
    <w:lvl w:ilvl="0">
      <w:lvlJc w:val="left"/>
      <w:lvlText w:val="(%1)"/>
      <w:numFmt w:val="lowerLetter"/>
      <w:start w:val="25"/>
    </w:lvl>
    <w:lvl w:ilvl="1">
      <w:lvlJc w:val="left"/>
      <w:lvlText w:val="(%2)"/>
      <w:numFmt w:val="lowerLetter"/>
      <w:start w:val="7"/>
    </w:lvl>
  </w:abstractNum>
  <w:abstractNum w:abstractNumId="64">
    <w:nsid w:val="57A61A29"/>
    <w:multiLevelType w:val="hybridMultilevel"/>
    <w:lvl w:ilvl="0">
      <w:lvlJc w:val="left"/>
      <w:lvlText w:val="(%1)"/>
      <w:numFmt w:val="lowerLetter"/>
      <w:start w:val="9"/>
    </w:lvl>
  </w:abstractNum>
  <w:abstractNum w:abstractNumId="65">
    <w:nsid w:val="5399C654"/>
    <w:multiLevelType w:val="hybridMultilevel"/>
    <w:lvl w:ilvl="0">
      <w:lvlJc w:val="left"/>
      <w:lvlText w:val="(%1)"/>
      <w:numFmt w:val="lowerLetter"/>
      <w:start w:val="2"/>
    </w:lvl>
  </w:abstractNum>
  <w:abstractNum w:abstractNumId="66">
    <w:nsid w:val="20EE1348"/>
    <w:multiLevelType w:val="hybridMultilevel"/>
    <w:lvl w:ilvl="0">
      <w:lvlJc w:val="left"/>
      <w:lvlText w:val="(%1)"/>
      <w:numFmt w:val="lowerLetter"/>
      <w:start w:val="1"/>
    </w:lvl>
  </w:abstractNum>
  <w:abstractNum w:abstractNumId="67">
    <w:nsid w:val="4427069A"/>
    <w:multiLevelType w:val="hybridMultilevel"/>
    <w:lvl w:ilvl="0">
      <w:lvlJc w:val="left"/>
      <w:lvlText w:val="(%1)"/>
      <w:numFmt w:val="lowerLetter"/>
      <w:start w:val="1"/>
    </w:lvl>
  </w:abstractNum>
  <w:abstractNum w:abstractNumId="68">
    <w:nsid w:val="B37E80A"/>
    <w:multiLevelType w:val="hybridMultilevel"/>
    <w:lvl w:ilvl="0">
      <w:lvlJc w:val="left"/>
      <w:lvlText w:val="(%1)"/>
      <w:numFmt w:val="lowerLetter"/>
      <w:start w:val="1"/>
    </w:lvl>
  </w:abstractNum>
  <w:abstractNum w:abstractNumId="69">
    <w:nsid w:val="2157F6BC"/>
    <w:multiLevelType w:val="hybridMultilevel"/>
    <w:lvl w:ilvl="0">
      <w:lvlJc w:val="left"/>
      <w:lvlText w:val="(%1)"/>
      <w:numFmt w:val="lowerLetter"/>
      <w:start w:val="3"/>
    </w:lvl>
  </w:abstractNum>
  <w:abstractNum w:abstractNumId="70">
    <w:nsid w:val="704E1DD5"/>
    <w:multiLevelType w:val="hybridMultilevel"/>
    <w:lvl w:ilvl="0">
      <w:lvlJc w:val="left"/>
      <w:lvlText w:val="(%1)"/>
      <w:numFmt w:val="lowerRoman"/>
      <w:start w:val="1"/>
    </w:lvl>
  </w:abstractNum>
  <w:abstractNum w:abstractNumId="71">
    <w:nsid w:val="57D2F10E"/>
    <w:multiLevelType w:val="hybridMultilevel"/>
    <w:lvl w:ilvl="0">
      <w:lvlJc w:val="left"/>
      <w:lvlText w:val="(%1)"/>
      <w:numFmt w:val="lowerLetter"/>
      <w:start w:val="2"/>
    </w:lvl>
  </w:abstractNum>
  <w:abstractNum w:abstractNumId="72">
    <w:nsid w:val="BFFAE18"/>
    <w:multiLevelType w:val="hybridMultilevel"/>
    <w:lvl w:ilvl="0">
      <w:lvlJc w:val="left"/>
      <w:lvlText w:val="%1"/>
      <w:numFmt w:val="lowerLetter"/>
      <w:start w:val="1"/>
    </w:lvl>
    <w:lvl w:ilvl="1">
      <w:lvlJc w:val="left"/>
      <w:lvlText w:val="(%2)"/>
      <w:numFmt w:val="lowerLetter"/>
      <w:start w:val="2"/>
    </w:lvl>
  </w:abstractNum>
  <w:abstractNum w:abstractNumId="73">
    <w:nsid w:val="E3E47A8"/>
    <w:multiLevelType w:val="hybridMultilevel"/>
    <w:lvl w:ilvl="0">
      <w:lvlJc w:val="left"/>
      <w:lvlText w:val="(%1)"/>
      <w:numFmt w:val="lowerLetter"/>
      <w:start w:val="9"/>
    </w:lvl>
    <w:lvl w:ilvl="1">
      <w:lvlJc w:val="left"/>
      <w:lvlText w:val="%2"/>
      <w:numFmt w:val="lowerLetter"/>
      <w:start w:val="1"/>
    </w:lvl>
  </w:abstractNum>
  <w:abstractNum w:abstractNumId="74">
    <w:nsid w:val="2E48F044"/>
    <w:multiLevelType w:val="hybridMultilevel"/>
    <w:lvl w:ilvl="0">
      <w:lvlJc w:val="left"/>
      <w:lvlText w:val="(%1)"/>
      <w:numFmt w:val="lowerLetter"/>
      <w:start w:val="3"/>
    </w:lvl>
    <w:lvl w:ilvl="1">
      <w:lvlJc w:val="left"/>
      <w:lvlText w:val="*"/>
      <w:numFmt w:val="bullet"/>
      <w:start w:val="1"/>
    </w:lvl>
  </w:abstractNum>
  <w:abstractNum w:abstractNumId="75">
    <w:nsid w:val="49D0FEAC"/>
    <w:multiLevelType w:val="hybridMultilevel"/>
    <w:lvl w:ilvl="0">
      <w:lvlJc w:val="left"/>
      <w:lvlText w:val="(%1)"/>
      <w:numFmt w:val="lowerLetter"/>
      <w:start w:val="2"/>
    </w:lvl>
  </w:abstractNum>
  <w:abstractNum w:abstractNumId="76">
    <w:nsid w:val="4BEE5A5B"/>
    <w:multiLevelType w:val="hybridMultilevel"/>
    <w:lvl w:ilvl="0">
      <w:lvlJc w:val="left"/>
      <w:lvlText w:val="(%1)"/>
      <w:numFmt w:val="lowerRoman"/>
      <w:start w:val="3"/>
    </w:lvl>
  </w:abstractNum>
  <w:abstractNum w:abstractNumId="77">
    <w:nsid w:val="5551B9F3"/>
    <w:multiLevelType w:val="hybridMultilevel"/>
    <w:lvl w:ilvl="0">
      <w:lvlJc w:val="left"/>
      <w:lvlText w:val="(%1)"/>
      <w:numFmt w:val="lowerLetter"/>
      <w:start w:val="1"/>
    </w:lvl>
  </w:abstractNum>
  <w:abstractNum w:abstractNumId="78">
    <w:nsid w:val="24F6AB8E"/>
    <w:multiLevelType w:val="hybridMultilevel"/>
    <w:lvl w:ilvl="0">
      <w:lvlJc w:val="left"/>
      <w:lvlText w:val="(%1)"/>
      <w:numFmt w:val="lowerLetter"/>
      <w:start w:val="3"/>
    </w:lvl>
  </w:abstractNum>
  <w:abstractNum w:abstractNumId="79">
    <w:nsid w:val="634C574C"/>
    <w:multiLevelType w:val="hybridMultilevel"/>
    <w:lvl w:ilvl="0">
      <w:lvlJc w:val="left"/>
      <w:lvlText w:val="(%1)"/>
      <w:numFmt w:val="lowerLetter"/>
      <w:start w:val="1"/>
    </w:lvl>
  </w:abstractNum>
  <w:abstractNum w:abstractNumId="80">
    <w:nsid w:val="24E99DD7"/>
    <w:multiLevelType w:val="hybridMultilevel"/>
    <w:lvl w:ilvl="0">
      <w:lvlJc w:val="left"/>
      <w:lvlText w:val="(%1)"/>
      <w:numFmt w:val="lowerLetter"/>
      <w:start w:val="2"/>
    </w:lvl>
  </w:abstractNum>
  <w:abstractNum w:abstractNumId="81">
    <w:nsid w:val="2A31B62D"/>
    <w:multiLevelType w:val="hybridMultilevel"/>
    <w:lvl w:ilvl="0">
      <w:lvlJc w:val="left"/>
      <w:lvlText w:val="(%1)"/>
      <w:numFmt w:val="lowerRoman"/>
      <w:start w:val="2"/>
    </w:lvl>
  </w:abstractNum>
  <w:abstractNum w:abstractNumId="82">
    <w:nsid w:val="1849C29B"/>
    <w:multiLevelType w:val="hybridMultilevel"/>
    <w:lvl w:ilvl="0">
      <w:lvlJc w:val="left"/>
      <w:lvlText w:val="(%1)"/>
      <w:numFmt w:val="lowerRoman"/>
      <w:start w:val="1"/>
    </w:lvl>
  </w:abstractNum>
  <w:abstractNum w:abstractNumId="83">
    <w:nsid w:val="7DFF9D09"/>
    <w:multiLevelType w:val="hybridMultilevel"/>
    <w:lvl w:ilvl="0">
      <w:lvlJc w:val="left"/>
      <w:lvlText w:val="(%1)"/>
      <w:numFmt w:val="lowerRoman"/>
      <w:start w:val="2"/>
    </w:lvl>
  </w:abstractNum>
  <w:abstractNum w:abstractNumId="84">
    <w:nsid w:val="754342"/>
    <w:multiLevelType w:val="hybridMultilevel"/>
    <w:lvl w:ilvl="0">
      <w:lvlJc w:val="left"/>
      <w:lvlText w:val="(%1)"/>
      <w:numFmt w:val="lowerRoman"/>
      <w:start w:val="1"/>
    </w:lvl>
  </w:abstractNum>
  <w:abstractNum w:abstractNumId="85">
    <w:nsid w:val="69E7F3E5"/>
    <w:multiLevelType w:val="hybridMultilevel"/>
    <w:lvl w:ilvl="0">
      <w:lvlJc w:val="left"/>
      <w:lvlText w:val="(%1)"/>
      <w:numFmt w:val="lowerRoman"/>
      <w:start w:val="1"/>
    </w:lvl>
  </w:abstractNum>
  <w:abstractNum w:abstractNumId="86">
    <w:nsid w:val="2A6DE806"/>
    <w:multiLevelType w:val="hybridMultilevel"/>
    <w:lvl w:ilvl="0">
      <w:lvlJc w:val="left"/>
      <w:lvlText w:val="(%1)"/>
      <w:numFmt w:val="lowerRoman"/>
      <w:start w:val="1"/>
    </w:lvl>
  </w:abstractNum>
  <w:abstractNum w:abstractNumId="87">
    <w:nsid w:val="1816F8C4"/>
    <w:multiLevelType w:val="hybridMultilevel"/>
    <w:lvl w:ilvl="0">
      <w:lvlJc w:val="left"/>
      <w:lvlText w:val="(%1)"/>
      <w:numFmt w:val="lowerLetter"/>
      <w:start w:val="1"/>
    </w:lvl>
    <w:lvl w:ilvl="1">
      <w:lvlJc w:val="left"/>
      <w:lvlText w:val="(%2)"/>
      <w:numFmt w:val="lowerRoman"/>
      <w:start w:val="1"/>
    </w:lvl>
  </w:abstractNum>
  <w:abstractNum w:abstractNumId="88">
    <w:nsid w:val="37DF2233"/>
    <w:multiLevelType w:val="hybridMultilevel"/>
    <w:lvl w:ilvl="0">
      <w:lvlJc w:val="left"/>
      <w:lvlText w:val="(%1)"/>
      <w:numFmt w:val="lowerLetter"/>
      <w:start w:val="1"/>
    </w:lvl>
  </w:abstractNum>
  <w:abstractNum w:abstractNumId="89">
    <w:nsid w:val="7AB49DAF"/>
    <w:multiLevelType w:val="hybridMultilevel"/>
    <w:lvl w:ilvl="0">
      <w:lvlJc w:val="left"/>
      <w:lvlText w:val="(%1)"/>
      <w:numFmt w:val="lowerLetter"/>
      <w:start w:val="3"/>
    </w:lvl>
  </w:abstractNum>
  <w:abstractNum w:abstractNumId="90">
    <w:nsid w:val="759F82CD"/>
    <w:multiLevelType w:val="hybridMultilevel"/>
    <w:lvl w:ilvl="0">
      <w:lvlJc w:val="left"/>
      <w:lvlText w:val="(%1)"/>
      <w:numFmt w:val="lowerLetter"/>
      <w:start w:val="3"/>
    </w:lvl>
  </w:abstractNum>
  <w:abstractNum w:abstractNumId="91">
    <w:nsid w:val="61E74EA3"/>
    <w:multiLevelType w:val="hybridMultilevel"/>
    <w:lvl w:ilvl="0">
      <w:lvlJc w:val="left"/>
      <w:lvlText w:val="(%1)"/>
      <w:numFmt w:val="lowerRoman"/>
      <w:start w:val="2"/>
    </w:lvl>
  </w:abstractNum>
  <w:abstractNum w:abstractNumId="92">
    <w:nsid w:val="597B4D84"/>
    <w:multiLevelType w:val="hybridMultilevel"/>
    <w:lvl w:ilvl="0">
      <w:lvlJc w:val="left"/>
      <w:lvlText w:val="(%1)"/>
      <w:numFmt w:val="lowerLetter"/>
      <w:start w:val="25"/>
    </w:lvl>
  </w:abstractNum>
  <w:abstractNum w:abstractNumId="93">
    <w:nsid w:val="F819E7F"/>
    <w:multiLevelType w:val="hybridMultilevel"/>
    <w:lvl w:ilvl="0">
      <w:lvlJc w:val="left"/>
      <w:lvlText w:val="(%1)"/>
      <w:numFmt w:val="lowerRoman"/>
      <w:start w:val="1"/>
    </w:lvl>
  </w:abstractNum>
  <w:abstractNum w:abstractNumId="94">
    <w:nsid w:val="57C7D42D"/>
    <w:multiLevelType w:val="hybridMultilevel"/>
    <w:lvl w:ilvl="0">
      <w:lvlJc w:val="left"/>
      <w:lvlText w:val="(%1)"/>
      <w:numFmt w:val="lowerLetter"/>
      <w:start w:val="2"/>
    </w:lvl>
  </w:abstractNum>
  <w:abstractNum w:abstractNumId="95">
    <w:nsid w:val="312167AD"/>
    <w:multiLevelType w:val="hybridMultilevel"/>
    <w:lvl w:ilvl="0">
      <w:lvlJc w:val="left"/>
      <w:lvlText w:val="(%1)"/>
      <w:numFmt w:val="lowerLetter"/>
      <w:start w:val="1"/>
    </w:lvl>
  </w:abstractNum>
  <w:abstractNum w:abstractNumId="96">
    <w:nsid w:val="631B64D4"/>
    <w:multiLevelType w:val="hybridMultilevel"/>
    <w:lvl w:ilvl="0">
      <w:lvlJc w:val="left"/>
      <w:lvlText w:val="(%1)"/>
      <w:numFmt w:val="lowerLetter"/>
      <w:start w:val="2"/>
    </w:lvl>
  </w:abstractNum>
  <w:abstractNum w:abstractNumId="97">
    <w:nsid w:val="78B5E776"/>
    <w:multiLevelType w:val="hybridMultilevel"/>
    <w:lvl w:ilvl="0">
      <w:lvlJc w:val="left"/>
      <w:lvlText w:val="(%1)"/>
      <w:numFmt w:val="lowerLetter"/>
      <w:start w:val="1"/>
    </w:lvl>
  </w:abstractNum>
  <w:abstractNum w:abstractNumId="98">
    <w:nsid w:val="75486E47"/>
    <w:multiLevelType w:val="hybridMultilevel"/>
    <w:lvl w:ilvl="0">
      <w:lvlJc w:val="left"/>
      <w:lvlText w:val="(%1)"/>
      <w:numFmt w:val="lowerLetter"/>
      <w:start w:val="5"/>
    </w:lvl>
  </w:abstractNum>
  <w:abstractNum w:abstractNumId="99">
    <w:nsid w:val="6E534CDE"/>
    <w:multiLevelType w:val="hybridMultilevel"/>
    <w:lvl w:ilvl="0">
      <w:lvlJc w:val="left"/>
      <w:lvlText w:val="(%1)"/>
      <w:numFmt w:val="lowerRoman"/>
      <w:start w:val="10"/>
    </w:lvl>
  </w:abstractNum>
  <w:abstractNum w:abstractNumId="100">
    <w:nsid w:val="1A0DDE32"/>
    <w:multiLevelType w:val="hybridMultilevel"/>
    <w:lvl w:ilvl="0">
      <w:lvlJc w:val="left"/>
      <w:lvlText w:val="(%1)"/>
      <w:numFmt w:val="lowerLetter"/>
      <w:start w:val="1"/>
    </w:lvl>
  </w:abstractNum>
  <w:abstractNum w:abstractNumId="101">
    <w:nsid w:val="65968C1C"/>
    <w:multiLevelType w:val="hybridMultilevel"/>
    <w:lvl w:ilvl="0">
      <w:lvlJc w:val="left"/>
      <w:lvlText w:val="(%1)"/>
      <w:numFmt w:val="lowerLetter"/>
      <w:start w:val="1"/>
    </w:lvl>
  </w:abstractNum>
  <w:abstractNum w:abstractNumId="102">
    <w:nsid w:val="46263DEC"/>
    <w:multiLevelType w:val="hybridMultilevel"/>
    <w:lvl w:ilvl="0">
      <w:lvlJc w:val="left"/>
      <w:lvlText w:val="%1."/>
      <w:numFmt w:val="decimal"/>
      <w:start w:val="1"/>
    </w:lvl>
    <w:lvl w:ilvl="1">
      <w:lvlJc w:val="left"/>
      <w:lvlText w:val="(%2)"/>
      <w:numFmt w:val="lowerRoman"/>
      <w:start w:val="1"/>
    </w:lvl>
  </w:abstractNum>
  <w:abstractNum w:abstractNumId="103">
    <w:nsid w:val="260D8C4A"/>
    <w:multiLevelType w:val="hybridMultilevel"/>
    <w:lvl w:ilvl="0">
      <w:lvlJc w:val="left"/>
      <w:lvlText w:val="%1."/>
      <w:numFmt w:val="decimal"/>
      <w:start w:val="1"/>
    </w:lvl>
  </w:abstractNum>
  <w:abstractNum w:abstractNumId="104">
    <w:nsid w:val="73D4D3C4"/>
    <w:multiLevelType w:val="hybridMultilevel"/>
    <w:lvl w:ilvl="0">
      <w:lvlJc w:val="left"/>
      <w:lvlText w:val="%1."/>
      <w:numFmt w:val="decimal"/>
      <w:start w:val="1"/>
    </w:lvl>
    <w:lvl w:ilvl="1">
      <w:lvlJc w:val="left"/>
      <w:lvlText w:val="(%2)"/>
      <w:numFmt w:val="lowerRoman"/>
      <w:start w:val="1"/>
    </w:lvl>
  </w:abstractNum>
  <w:abstractNum w:abstractNumId="105">
    <w:nsid w:val="746F2E30"/>
    <w:multiLevelType w:val="hybridMultilevel"/>
    <w:lvl w:ilvl="0">
      <w:lvlJc w:val="left"/>
      <w:lvlText w:val="%1."/>
      <w:numFmt w:val="decimal"/>
      <w:start w:val="1"/>
    </w:lvl>
    <w:lvl w:ilvl="1">
      <w:lvlJc w:val="left"/>
      <w:lvlText w:val="(%2)"/>
      <w:numFmt w:val="lowerRoman"/>
      <w:start w:val="1"/>
    </w:lvl>
  </w:abstractNum>
  <w:abstractNum w:abstractNumId="106">
    <w:nsid w:val="6FDE8AF6"/>
    <w:multiLevelType w:val="hybridMultilevel"/>
    <w:lvl w:ilvl="0">
      <w:lvlJc w:val="left"/>
      <w:lvlText w:val="%1"/>
      <w:numFmt w:val="decimal"/>
      <w:start w:val="1"/>
    </w:lvl>
    <w:lvl w:ilvl="1">
      <w:lvlJc w:val="left"/>
      <w:lvlText w:val="(%2)"/>
      <w:numFmt w:val="lowerRoman"/>
      <w:start w:val="2"/>
    </w:lvl>
  </w:abstractNum>
  <w:abstractNum w:abstractNumId="107">
    <w:nsid w:val="3FC32E20"/>
    <w:multiLevelType w:val="hybridMultilevel"/>
    <w:lvl w:ilvl="0">
      <w:lvlJc w:val="left"/>
      <w:lvlText w:val="%1."/>
      <w:numFmt w:val="decimal"/>
      <w:start w:val="6"/>
    </w:lvl>
    <w:lvl w:ilvl="1">
      <w:lvlJc w:val="left"/>
      <w:lvlText w:val="%2"/>
      <w:numFmt w:val="lowerRoman"/>
      <w:start w:val="1"/>
    </w:lvl>
  </w:abstractNum>
  <w:abstractNum w:abstractNumId="108">
    <w:nsid w:val="49C0E823"/>
    <w:multiLevelType w:val="hybridMultilevel"/>
    <w:lvl w:ilvl="0">
      <w:lvlJc w:val="left"/>
      <w:lvlText w:val="2"/>
      <w:numFmt w:val="bullet"/>
      <w:start w:val="1"/>
    </w:lvl>
  </w:abstractNum>
  <w:abstractNum w:abstractNumId="109">
    <w:nsid w:val="14D53685"/>
    <w:multiLevelType w:val="hybridMultilevel"/>
    <w:lvl w:ilvl="0">
      <w:lvlJc w:val="left"/>
      <w:lvlText w:val="%1)"/>
      <w:numFmt w:val="upperLetter"/>
      <w:start w:val="1"/>
    </w:lvl>
  </w:abstractNum>
  <w:abstractNum w:abstractNumId="110">
    <w:nsid w:val="230F856C"/>
    <w:multiLevelType w:val="hybridMultilevel"/>
    <w:lvl w:ilvl="0">
      <w:lvlJc w:val="left"/>
      <w:lvlText w:val="%1)"/>
      <w:numFmt w:val="upperLetter"/>
      <w:start w:val="2"/>
    </w:lvl>
  </w:abstractNum>
  <w:abstractNum w:abstractNumId="111">
    <w:nsid w:val="6EAA85FB"/>
    <w:multiLevelType w:val="hybridMultilevel"/>
    <w:lvl w:ilvl="0">
      <w:lvlJc w:val="left"/>
      <w:lvlText w:val="%1)"/>
      <w:numFmt w:val="upperLetter"/>
      <w:start w:val="1"/>
    </w:lvl>
  </w:abstractNum>
  <w:abstractNum w:abstractNumId="112">
    <w:nsid w:val="3F06ECB2"/>
    <w:multiLevelType w:val="hybridMultilevel"/>
    <w:lvl w:ilvl="0">
      <w:lvlJc w:val="left"/>
      <w:lvlText w:val="%1)"/>
      <w:numFmt w:val="upperLetter"/>
      <w:start w:val="1"/>
    </w:lvl>
  </w:abstractNum>
  <w:abstractNum w:abstractNumId="113">
    <w:nsid w:val="3B594807"/>
    <w:multiLevelType w:val="hybridMultilevel"/>
    <w:lvl w:ilvl="0">
      <w:lvlJc w:val="left"/>
      <w:lvlText w:val="%1)"/>
      <w:numFmt w:val="upperLetter"/>
      <w:start w:val="2"/>
    </w:lvl>
  </w:abstractNum>
  <w:abstractNum w:abstractNumId="114">
    <w:nsid w:val="6CAA2304"/>
    <w:multiLevelType w:val="hybridMultilevel"/>
    <w:lvl w:ilvl="0">
      <w:lvlJc w:val="left"/>
      <w:lvlText w:val="%1)"/>
      <w:numFmt w:val="upperLetter"/>
      <w:start w:val="1"/>
    </w:lvl>
  </w:abstractNum>
  <w:abstractNum w:abstractNumId="115">
    <w:nsid w:val="3F7C2FF4"/>
    <w:multiLevelType w:val="hybridMultilevel"/>
    <w:lvl w:ilvl="0">
      <w:lvlJc w:val="left"/>
      <w:lvlText w:val="%1)"/>
      <w:numFmt w:val="upperLetter"/>
      <w:start w:val="1"/>
    </w:lvl>
  </w:abstractNum>
  <w:abstractNum w:abstractNumId="116">
    <w:nsid w:val="25413BEC"/>
    <w:multiLevelType w:val="hybridMultilevel"/>
    <w:lvl w:ilvl="0">
      <w:lvlJc w:val="left"/>
      <w:lvlText w:val="%1)"/>
      <w:numFmt w:val="upperLetter"/>
      <w:start w:val="2"/>
    </w:lvl>
  </w:abstractNum>
  <w:abstractNum w:abstractNumId="117">
    <w:nsid w:val="17180B0B"/>
    <w:multiLevelType w:val="hybridMultilevel"/>
    <w:lvl w:ilvl="0">
      <w:lvlJc w:val="left"/>
      <w:lvlText w:val="%1)"/>
      <w:numFmt w:val="upperLetter"/>
      <w:start w:val="1"/>
    </w:lvl>
  </w:abstractNum>
  <w:abstractNum w:abstractNumId="118">
    <w:nsid w:val="579328B9"/>
    <w:multiLevelType w:val="hybridMultilevel"/>
    <w:lvl w:ilvl="0">
      <w:lvlJc w:val="left"/>
      <w:lvlText w:val="%1)"/>
      <w:numFmt w:val="upperLetter"/>
      <w:start w:val="2"/>
    </w:lvl>
  </w:abstractNum>
  <w:abstractNum w:abstractNumId="119">
    <w:nsid w:val="5D205E20"/>
    <w:multiLevelType w:val="hybridMultilevel"/>
    <w:lvl w:ilvl="0">
      <w:lvlJc w:val="left"/>
      <w:lvlText w:val="%1)"/>
      <w:numFmt w:val="upperLetter"/>
      <w:start w:val="1"/>
    </w:lvl>
  </w:abstractNum>
  <w:abstractNum w:abstractNumId="120">
    <w:nsid w:val="11CCA8BA"/>
    <w:multiLevelType w:val="hybridMultilevel"/>
    <w:lvl w:ilvl="0">
      <w:lvlJc w:val="left"/>
      <w:lvlText w:val="%1)"/>
      <w:numFmt w:val="upperLetter"/>
      <w:start w:val="1"/>
    </w:lvl>
  </w:abstractNum>
  <w:abstractNum w:abstractNumId="121">
    <w:nsid w:val="4D32AB86"/>
    <w:multiLevelType w:val="hybridMultilevel"/>
    <w:lvl w:ilvl="0">
      <w:lvlJc w:val="left"/>
      <w:lvlText w:val="%1)"/>
      <w:numFmt w:val="upperLetter"/>
      <w:start w:val="2"/>
    </w:lvl>
  </w:abstractNum>
  <w:abstractNum w:abstractNumId="122">
    <w:nsid w:val="3F07ACC3"/>
    <w:multiLevelType w:val="hybridMultilevel"/>
    <w:lvl w:ilvl="0">
      <w:lvlJc w:val="left"/>
      <w:lvlText w:val="%1)"/>
      <w:numFmt w:val="upperLetter"/>
      <w:start w:val="1"/>
    </w:lvl>
  </w:abstractNum>
  <w:abstractNum w:abstractNumId="123">
    <w:nsid w:val="6B47F63E"/>
    <w:multiLevelType w:val="hybridMultilevel"/>
    <w:lvl w:ilvl="0">
      <w:lvlJc w:val="left"/>
      <w:lvlText w:val="%1)"/>
      <w:numFmt w:val="upperLetter"/>
      <w:start w:val="1"/>
    </w:lvl>
  </w:abstractNum>
  <w:abstractNum w:abstractNumId="124">
    <w:nsid w:val="5CB44A05"/>
    <w:multiLevelType w:val="hybridMultilevel"/>
    <w:lvl w:ilvl="0">
      <w:lvlJc w:val="left"/>
      <w:lvlText w:val="%1)"/>
      <w:numFmt w:val="upperLetter"/>
      <w:start w:val="2"/>
    </w:lvl>
  </w:abstractNum>
  <w:abstractNum w:abstractNumId="125">
    <w:nsid w:val="16CF80F1"/>
    <w:multiLevelType w:val="hybridMultilevel"/>
    <w:lvl w:ilvl="0">
      <w:lvlJc w:val="left"/>
      <w:lvlText w:val="%1)"/>
      <w:numFmt w:val="upperLetter"/>
      <w:start w:val="1"/>
    </w:lvl>
  </w:abstractNum>
  <w:abstractNum w:abstractNumId="126">
    <w:nsid w:val="1C695DEC"/>
    <w:multiLevelType w:val="hybridMultilevel"/>
    <w:lvl w:ilvl="0">
      <w:lvlJc w:val="left"/>
      <w:lvlText w:val="(%1)"/>
      <w:numFmt w:val="decimal"/>
      <w:start w:val="1"/>
    </w:lvl>
  </w:abstractNum>
  <w:abstractNum w:abstractNumId="127">
    <w:nsid w:val="3FCFAED9"/>
    <w:multiLevelType w:val="hybridMultilevel"/>
    <w:lvl w:ilvl="0">
      <w:lvlJc w:val="left"/>
      <w:lvlText w:val="(%1)"/>
      <w:numFmt w:val="decimal"/>
      <w:start w:val="4"/>
    </w:lvl>
  </w:abstractNum>
  <w:abstractNum w:abstractNumId="128">
    <w:nsid w:val="F856867"/>
    <w:multiLevelType w:val="hybridMultilevel"/>
    <w:lvl w:ilvl="0">
      <w:lvlJc w:val="left"/>
      <w:lvlText w:val="%1."/>
      <w:numFmt w:val="decimal"/>
      <w:start w:val="1"/>
    </w:lvl>
  </w:abstractNum>
  <w:abstractNum w:abstractNumId="129">
    <w:nsid w:val="11B1CC33"/>
    <w:multiLevelType w:val="hybridMultilevel"/>
    <w:lvl w:ilvl="0">
      <w:lvlJc w:val="left"/>
      <w:lvlText w:val="%1."/>
      <w:numFmt w:val="decimal"/>
      <w:start w:val="1"/>
    </w:lvl>
  </w:abstractNum>
  <w:abstractNum w:abstractNumId="130">
    <w:nsid w:val="2E22FBB7"/>
    <w:multiLevelType w:val="hybridMultilevel"/>
    <w:lvl w:ilvl="0">
      <w:lvlJc w:val="left"/>
      <w:lvlText w:val="%1"/>
      <w:numFmt w:val="decimal"/>
      <w:start w:val="1"/>
    </w:lvl>
    <w:lvl w:ilvl="1">
      <w:lvlJc w:val="left"/>
      <w:lvlText w:val="%2."/>
      <w:numFmt w:val="decimal"/>
      <w:start w:val="1"/>
    </w:lvl>
  </w:abstractNum>
  <w:abstractNum w:abstractNumId="131">
    <w:nsid w:val="29934699"/>
    <w:multiLevelType w:val="hybridMultilevel"/>
    <w:lvl w:ilvl="0">
      <w:lvlJc w:val="left"/>
      <w:lvlText w:val="%1."/>
      <w:numFmt w:val="decimal"/>
      <w:start w:val="2"/>
    </w:lvl>
    <w:lvl w:ilvl="1">
      <w:lvlJc w:val="left"/>
      <w:lvlText w:val="%2"/>
      <w:numFmt w:val="decimal"/>
      <w:start w:val="1"/>
    </w:lvl>
  </w:abstractNum>
  <w:abstractNum w:abstractNumId="132">
    <w:nsid w:val="77485850"/>
    <w:multiLevelType w:val="hybridMultilevel"/>
    <w:lvl w:ilvl="0">
      <w:lvlJc w:val="left"/>
      <w:lvlText w:val="%1."/>
      <w:numFmt w:val="decimal"/>
      <w:start w:val="1"/>
    </w:lvl>
  </w:abstractNum>
  <w:abstractNum w:abstractNumId="133">
    <w:nsid w:val="744939A3"/>
    <w:multiLevelType w:val="hybridMultilevel"/>
    <w:lvl w:ilvl="0">
      <w:lvlJc w:val="left"/>
      <w:lvlText w:val="(%1)"/>
      <w:numFmt w:val="decimal"/>
      <w:start w:val="2"/>
    </w:lvl>
  </w:abstractNum>
  <w:abstractNum w:abstractNumId="134">
    <w:nsid w:val="4FA0D2E3"/>
    <w:multiLevelType w:val="hybridMultilevel"/>
    <w:lvl w:ilvl="0">
      <w:lvlJc w:val="left"/>
      <w:lvlText w:val="(%1)"/>
      <w:numFmt w:val="decimal"/>
      <w:start w:val="3"/>
    </w:lvl>
  </w:abstractNum>
  <w:abstractNum w:abstractNumId="135">
    <w:nsid w:val="6B1D2C14"/>
    <w:multiLevelType w:val="hybridMultilevel"/>
    <w:lvl w:ilvl="0">
      <w:lvlJc w:val="left"/>
      <w:lvlText w:val="(%1)"/>
      <w:numFmt w:val="decimal"/>
      <w:start w:val="1"/>
    </w:lvl>
  </w:abstractNum>
  <w:abstractNum w:abstractNumId="136">
    <w:nsid w:val="68B867D3"/>
    <w:multiLevelType w:val="hybridMultilevel"/>
    <w:lvl w:ilvl="0">
      <w:lvlJc w:val="left"/>
      <w:lvlText w:val="(%1)"/>
      <w:numFmt w:val="decimal"/>
      <w:start w:val="2"/>
    </w:lvl>
  </w:abstractNum>
  <w:abstractNum w:abstractNumId="137">
    <w:nsid w:val="3F7F5DD9"/>
    <w:multiLevelType w:val="hybridMultilevel"/>
    <w:lvl w:ilvl="0">
      <w:lvlJc w:val="left"/>
      <w:lvlText w:val="(%1)"/>
      <w:numFmt w:val="decimal"/>
      <w:start w:val="3"/>
    </w:lvl>
  </w:abstractNum>
  <w:abstractNum w:abstractNumId="138">
    <w:nsid w:val="2AE05A34"/>
    <w:multiLevelType w:val="hybridMultilevel"/>
    <w:lvl w:ilvl="0">
      <w:lvlJc w:val="left"/>
      <w:lvlText w:val="(%1)"/>
      <w:numFmt w:val="decimal"/>
      <w:start w:val="1"/>
    </w:lvl>
  </w:abstractNum>
  <w:abstractNum w:abstractNumId="139">
    <w:nsid w:val="32794FF7"/>
    <w:multiLevelType w:val="hybridMultilevel"/>
    <w:lvl w:ilvl="0">
      <w:lvlJc w:val="left"/>
      <w:lvlText w:val="(%1)"/>
      <w:numFmt w:val="decimal"/>
      <w:start w:val="2"/>
    </w:lvl>
  </w:abstractNum>
  <w:abstractNum w:abstractNumId="140">
    <w:nsid w:val="5454945E"/>
    <w:multiLevelType w:val="hybridMultilevel"/>
    <w:lvl w:ilvl="0">
      <w:lvlJc w:val="left"/>
      <w:lvlText w:val="(%1)"/>
      <w:numFmt w:val="decimal"/>
      <w:start w:val="3"/>
    </w:lvl>
  </w:abstractNum>
  <w:abstractNum w:abstractNumId="141">
    <w:nsid w:val="4DEFDFA0"/>
    <w:multiLevelType w:val="hybridMultilevel"/>
    <w:lvl w:ilvl="0">
      <w:lvlJc w:val="left"/>
      <w:lvlText w:val="(%1)"/>
      <w:numFmt w:val="decimal"/>
      <w:start w:val="1"/>
    </w:lvl>
  </w:abstractNum>
  <w:abstractNum w:abstractNumId="142">
    <w:nsid w:val="2123D5F2"/>
    <w:multiLevelType w:val="hybridMultilevel"/>
    <w:lvl w:ilvl="0">
      <w:lvlJc w:val="left"/>
      <w:lvlText w:val="(%1)"/>
      <w:numFmt w:val="decimal"/>
      <w:start w:val="2"/>
    </w:lvl>
  </w:abstractNum>
  <w:abstractNum w:abstractNumId="143">
    <w:nsid w:val="135B8110"/>
    <w:multiLevelType w:val="hybridMultilevel"/>
    <w:lvl w:ilvl="0">
      <w:lvlJc w:val="left"/>
      <w:lvlText w:val="(%1)"/>
      <w:numFmt w:val="decimal"/>
      <w:start w:val="4"/>
    </w:lvl>
  </w:abstractNum>
  <w:abstractNum w:abstractNumId="144">
    <w:nsid w:val="94927A8"/>
    <w:multiLevelType w:val="hybridMultilevel"/>
    <w:lvl w:ilvl="0">
      <w:lvlJc w:val="left"/>
      <w:lvlText w:val="(%1)"/>
      <w:numFmt w:val="decimal"/>
      <w:start w:val="1"/>
    </w:lvl>
  </w:abstractNum>
  <w:abstractNum w:abstractNumId="145">
    <w:nsid w:val="DCDF8F6"/>
    <w:multiLevelType w:val="hybridMultilevel"/>
    <w:lvl w:ilvl="0">
      <w:lvlJc w:val="left"/>
      <w:lvlText w:val="(%1)"/>
      <w:numFmt w:val="decimal"/>
      <w:start w:val="2"/>
    </w:lvl>
  </w:abstractNum>
  <w:abstractNum w:abstractNumId="146">
    <w:nsid w:val="52D7B105"/>
    <w:multiLevelType w:val="hybridMultilevel"/>
    <w:lvl w:ilvl="0">
      <w:lvlJc w:val="left"/>
      <w:lvlText w:val="(%1)"/>
      <w:numFmt w:val="decimal"/>
      <w:start w:val="4"/>
    </w:lvl>
  </w:abstractNum>
  <w:abstractNum w:abstractNumId="147">
    <w:nsid w:val="2E8A6394"/>
    <w:multiLevelType w:val="hybridMultilevel"/>
    <w:lvl w:ilvl="0">
      <w:lvlJc w:val="left"/>
      <w:lvlText w:val="(%1)"/>
      <w:numFmt w:val="decimal"/>
      <w:start w:val="1"/>
    </w:lvl>
  </w:abstractNum>
  <w:abstractNum w:abstractNumId="148">
    <w:nsid w:val="24E60401"/>
    <w:multiLevelType w:val="hybridMultilevel"/>
    <w:lvl w:ilvl="0">
      <w:lvlJc w:val="left"/>
      <w:lvlText w:val="(%1)"/>
      <w:numFmt w:val="decimal"/>
      <w:start w:val="2"/>
    </w:lvl>
  </w:abstractNum>
  <w:abstractNum w:abstractNumId="149">
    <w:nsid w:val="2A6AD9BE"/>
    <w:multiLevelType w:val="hybridMultilevel"/>
    <w:lvl w:ilvl="0">
      <w:lvlJc w:val="left"/>
      <w:lvlText w:val="(%1)"/>
      <w:numFmt w:val="decimal"/>
      <w:start w:val="4"/>
    </w:lvl>
  </w:abstractNum>
  <w:abstractNum w:abstractNumId="150">
    <w:nsid w:val="BAAC1B4"/>
    <w:multiLevelType w:val="hybridMultilevel"/>
    <w:lvl w:ilvl="0">
      <w:lvlJc w:val="left"/>
      <w:lvlText w:val="(%1)"/>
      <w:numFmt w:val="decimal"/>
      <w:start w:val="1"/>
    </w:lvl>
  </w:abstractNum>
  <w:abstractNum w:abstractNumId="151">
    <w:nsid w:val="36B2ACBC"/>
    <w:multiLevelType w:val="hybridMultilevel"/>
    <w:lvl w:ilvl="0">
      <w:lvlJc w:val="left"/>
      <w:lvlText w:val="(%1)"/>
      <w:numFmt w:val="decimal"/>
      <w:start w:val="2"/>
    </w:lvl>
  </w:abstractNum>
  <w:abstractNum w:abstractNumId="152">
    <w:nsid w:val="779D8544"/>
    <w:multiLevelType w:val="hybridMultilevel"/>
    <w:lvl w:ilvl="0">
      <w:lvlJc w:val="left"/>
      <w:lvlText w:val="(%1)"/>
      <w:numFmt w:val="decimal"/>
      <w:start w:val="4"/>
    </w:lvl>
  </w:abstractNum>
  <w:abstractNum w:abstractNumId="153">
    <w:nsid w:val="4AB26E78"/>
    <w:multiLevelType w:val="hybridMultilevel"/>
    <w:lvl w:ilvl="0">
      <w:lvlJc w:val="left"/>
      <w:lvlText w:val="(%1)"/>
      <w:numFmt w:val="decimal"/>
      <w:start w:val="1"/>
    </w:lvl>
  </w:abstractNum>
  <w:abstractNum w:abstractNumId="154">
    <w:nsid w:val="21FAA2FA"/>
    <w:multiLevelType w:val="hybridMultilevel"/>
    <w:lvl w:ilvl="0">
      <w:lvlJc w:val="left"/>
      <w:lvlText w:val="(%1)"/>
      <w:numFmt w:val="decimal"/>
      <w:start w:val="2"/>
    </w:lvl>
  </w:abstractNum>
  <w:abstractNum w:abstractNumId="155">
    <w:nsid w:val="5451CF49"/>
    <w:multiLevelType w:val="hybridMultilevel"/>
    <w:lvl w:ilvl="0">
      <w:lvlJc w:val="left"/>
      <w:lvlText w:val="(%1)"/>
      <w:numFmt w:val="decimal"/>
      <w:start w:val="4"/>
    </w:lvl>
  </w:abstractNum>
  <w:abstractNum w:abstractNumId="156">
    <w:nsid w:val="6181EF69"/>
    <w:multiLevelType w:val="hybridMultilevel"/>
    <w:lvl w:ilvl="0">
      <w:lvlJc w:val="left"/>
      <w:lvlText w:val="(%1)"/>
      <w:numFmt w:val="lowerRoman"/>
      <w:start w:val="1"/>
    </w:lvl>
  </w:abstractNum>
  <w:abstractNum w:abstractNumId="157">
    <w:nsid w:val="3E6400E6"/>
    <w:multiLevelType w:val="hybridMultilevel"/>
    <w:lvl w:ilvl="0">
      <w:lvlJc w:val="left"/>
      <w:lvlText w:val="(%1)"/>
      <w:numFmt w:val="lowerLetter"/>
      <w:start w:val="1"/>
    </w:lvl>
  </w:abstractNum>
  <w:abstractNum w:abstractNumId="158">
    <w:nsid w:val="14217E23"/>
    <w:multiLevelType w:val="hybridMultilevel"/>
    <w:lvl w:ilvl="0">
      <w:lvlJc w:val="left"/>
      <w:lvlText w:val="(%1)"/>
      <w:numFmt w:val="lowerLetter"/>
      <w:start w:val="1"/>
    </w:lvl>
  </w:abstractNum>
  <w:abstractNum w:abstractNumId="159">
    <w:nsid w:val="710757D0"/>
    <w:multiLevelType w:val="hybridMultilevel"/>
    <w:lvl w:ilvl="0">
      <w:lvlJc w:val="left"/>
      <w:lvlText w:val="(%1)"/>
      <w:numFmt w:val="lowerLetter"/>
      <w:start w:val="4"/>
    </w:lvl>
  </w:abstractNum>
  <w:abstractNum w:abstractNumId="160">
    <w:nsid w:val="5015CD1A"/>
    <w:multiLevelType w:val="hybridMultilevel"/>
    <w:lvl w:ilvl="0">
      <w:lvlJc w:val="left"/>
      <w:lvlText w:val="(%1)"/>
      <w:numFmt w:val="upperLetter"/>
      <w:start w:val="2"/>
    </w:lvl>
  </w:abstractNum>
  <w:abstractNum w:abstractNumId="161">
    <w:nsid w:val="424479DA"/>
    <w:multiLevelType w:val="hybridMultilevel"/>
    <w:lvl w:ilvl="0">
      <w:lvlJc w:val="left"/>
      <w:lvlText w:val="%1."/>
      <w:numFmt w:val="upperLetter"/>
      <w:start w:val="1"/>
    </w:lvl>
  </w:abstractNum>
  <w:abstractNum w:abstractNumId="162">
    <w:nsid w:val="1A9A9E69"/>
    <w:multiLevelType w:val="hybridMultilevel"/>
    <w:lvl w:ilvl="0">
      <w:lvlJc w:val="left"/>
      <w:lvlText w:val="%1."/>
      <w:numFmt w:val="decimal"/>
      <w:start w:val="1"/>
    </w:lvl>
  </w:abstractNum>
  <w:abstractNum w:abstractNumId="163">
    <w:nsid w:val="475E256A"/>
    <w:multiLevelType w:val="hybridMultilevel"/>
    <w:lvl w:ilvl="0">
      <w:lvlJc w:val="left"/>
      <w:lvlText w:val="%1."/>
      <w:numFmt w:val="decimal"/>
      <w:start w:val="1"/>
    </w:lvl>
  </w:abstractNum>
  <w:abstractNum w:abstractNumId="164">
    <w:nsid w:val="368DB37E"/>
    <w:multiLevelType w:val="hybridMultilevel"/>
    <w:lvl w:ilvl="0">
      <w:lvlJc w:val="left"/>
      <w:lvlText w:val="%1."/>
      <w:numFmt w:val="decimal"/>
      <w:start w:val="3"/>
    </w:lvl>
  </w:abstractNum>
  <w:abstractNum w:abstractNumId="165">
    <w:nsid w:val="6A3B714C"/>
    <w:multiLevelType w:val="hybridMultilevel"/>
    <w:lvl w:ilvl="0">
      <w:lvlJc w:val="left"/>
      <w:lvlText w:val="%1."/>
      <w:numFmt w:val="decimal"/>
      <w:start w:val="4"/>
    </w:lvl>
  </w:abstractNum>
  <w:abstractNum w:abstractNumId="166">
    <w:nsid w:val="327B517E"/>
    <w:multiLevelType w:val="hybridMultilevel"/>
    <w:lvl w:ilvl="0">
      <w:lvlJc w:val="left"/>
      <w:lvlText w:val="%1."/>
      <w:numFmt w:val="upperLetter"/>
      <w:start w:val="1"/>
    </w:lvl>
  </w:abstractNum>
  <w:abstractNum w:abstractNumId="167">
    <w:nsid w:val="1F461B51"/>
    <w:multiLevelType w:val="hybridMultilevel"/>
    <w:lvl w:ilvl="0">
      <w:lvlJc w:val="left"/>
      <w:lvlText w:val="%1."/>
      <w:numFmt w:val="upperLetter"/>
      <w:start w:val="2"/>
    </w:lvl>
  </w:abstractNum>
  <w:abstractNum w:abstractNumId="168">
    <w:nsid w:val="29BACF25"/>
    <w:multiLevelType w:val="hybridMultilevel"/>
    <w:lvl w:ilvl="0">
      <w:lvlJc w:val="left"/>
      <w:lvlText w:val="%1."/>
      <w:numFmt w:val="upperLetter"/>
      <w:start w:val="35"/>
    </w:lvl>
    <w:lvl w:ilvl="1">
      <w:lvlJc w:val="left"/>
      <w:lvlText w:val="%2"/>
      <w:numFmt w:val="upperLetter"/>
      <w:start w:val="1"/>
    </w:lvl>
  </w:abstractNum>
  <w:abstractNum w:abstractNumId="169">
    <w:nsid w:val="5D5BABB3"/>
    <w:multiLevelType w:val="hybridMultilevel"/>
    <w:lvl w:ilvl="0">
      <w:lvlJc w:val="left"/>
      <w:lvlText w:val="1"/>
      <w:numFmt w:val="bullet"/>
      <w:start w:val="1"/>
    </w:lvl>
  </w:abstractNum>
  <w:abstractNum w:abstractNumId="170">
    <w:nsid w:val="51BF6B48"/>
    <w:multiLevelType w:val="hybridMultilevel"/>
    <w:lvl w:ilvl="0">
      <w:lvlJc w:val="left"/>
      <w:lvlText w:val="%1."/>
      <w:numFmt w:val="upperLetter"/>
      <w:start w:val="2"/>
    </w:lvl>
    <w:lvl w:ilvl="1">
      <w:lvlJc w:val="left"/>
      <w:lvlText w:val="%2."/>
      <w:numFmt w:val="decimal"/>
      <w:start w:val="1"/>
    </w:lvl>
  </w:abstractNum>
  <w:abstractNum w:abstractNumId="171">
    <w:nsid w:val="7E0F6384"/>
    <w:multiLevelType w:val="hybridMultilevel"/>
    <w:lvl w:ilvl="0">
      <w:lvlJc w:val="left"/>
      <w:lvlText w:val="%1."/>
      <w:numFmt w:val="upperLetter"/>
      <w:start w:val="2"/>
    </w:lvl>
    <w:lvl w:ilvl="1">
      <w:lvlJc w:val="left"/>
      <w:lvlText w:val="%2."/>
      <w:numFmt w:val="decimal"/>
      <w:start w:val="1"/>
    </w:lvl>
  </w:abstractNum>
  <w:abstractNum w:abstractNumId="172">
    <w:nsid w:val="2B4B8B53"/>
    <w:multiLevelType w:val="hybridMultilevel"/>
    <w:lvl w:ilvl="0">
      <w:lvlJc w:val="left"/>
      <w:lvlText w:val="%1."/>
      <w:numFmt w:val="upperLetter"/>
      <w:start w:val="4"/>
    </w:lvl>
  </w:abstractNum>
  <w:abstractNum w:abstractNumId="173">
    <w:nsid w:val="72E3413A"/>
    <w:multiLevelType w:val="hybridMultilevel"/>
    <w:lvl w:ilvl="0">
      <w:lvlJc w:val="left"/>
      <w:lvlText w:val="%1."/>
      <w:numFmt w:val="upperLetter"/>
      <w:start w:val="1"/>
    </w:lvl>
    <w:lvl w:ilvl="1">
      <w:lvlJc w:val="left"/>
      <w:lvlText w:val="%2."/>
      <w:numFmt w:val="decimal"/>
      <w:start w:val="1"/>
    </w:lvl>
  </w:abstractNum>
  <w:abstractNum w:abstractNumId="174">
    <w:nsid w:val="116AE494"/>
    <w:multiLevelType w:val="hybridMultilevel"/>
    <w:lvl w:ilvl="0">
      <w:lvlJc w:val="left"/>
      <w:lvlText w:val="%1."/>
      <w:numFmt w:val="decimal"/>
      <w:start w:val="4"/>
    </w:lvl>
    <w:lvl w:ilvl="1">
      <w:lvlJc w:val="left"/>
      <w:lvlText w:val="(%2)"/>
      <w:numFmt w:val="lowerRoman"/>
      <w:start w:val="10"/>
    </w:lvl>
  </w:abstractNum>
  <w:abstractNum w:abstractNumId="175">
    <w:nsid w:val="3494B2FB"/>
    <w:multiLevelType w:val="hybridMultilevel"/>
    <w:lvl w:ilvl="0">
      <w:lvlJc w:val="left"/>
      <w:lvlText w:val="%1."/>
      <w:numFmt w:val="upperLetter"/>
      <w:start w:val="1"/>
    </w:lvl>
  </w:abstractNum>
  <w:abstractNum w:abstractNumId="176">
    <w:nsid w:val="B13A31"/>
    <w:multiLevelType w:val="hybridMultilevel"/>
    <w:lvl w:ilvl="0">
      <w:lvlJc w:val="left"/>
      <w:lvlText w:val="%1."/>
      <w:numFmt w:val="upperLetter"/>
      <w:start w:val="2"/>
    </w:lvl>
  </w:abstractNum>
  <w:abstractNum w:abstractNumId="177">
    <w:nsid w:val="64429599"/>
    <w:multiLevelType w:val="hybridMultilevel"/>
    <w:lvl w:ilvl="0">
      <w:lvlJc w:val="left"/>
      <w:lvlText w:val="%1."/>
      <w:numFmt w:val="upperLetter"/>
      <w:start w:val="3"/>
    </w:lvl>
    <w:lvl w:ilvl="1">
      <w:lvlJc w:val="left"/>
      <w:lvlText w:val="%2."/>
      <w:numFmt w:val="decimal"/>
      <w:start w:val="1"/>
    </w:lvl>
  </w:abstractNum>
  <w:abstractNum w:abstractNumId="178">
    <w:nsid w:val="631F1690"/>
    <w:multiLevelType w:val="hybridMultilevel"/>
    <w:lvl w:ilvl="0">
      <w:lvlJc w:val="left"/>
      <w:lvlText w:val="2"/>
      <w:numFmt w:val="bullet"/>
      <w:start w:val="1"/>
    </w:lvl>
    <w:lvl w:ilvl="1">
      <w:lvlJc w:val="left"/>
      <w:lvlText w:val="-"/>
      <w:numFmt w:val="bullet"/>
      <w:start w:val="1"/>
    </w:lvl>
  </w:abstractNum>
  <w:abstractNum w:abstractNumId="179">
    <w:nsid w:val="25973E32"/>
    <w:multiLevelType w:val="hybridMultilevel"/>
    <w:lvl w:ilvl="0">
      <w:lvlJc w:val="left"/>
      <w:lvlText w:val="%1."/>
      <w:numFmt w:val="decimal"/>
      <w:start w:val="6"/>
    </w:lvl>
  </w:abstractNum>
  <w:abstractNum w:abstractNumId="180">
    <w:nsid w:val="EAD6F57"/>
    <w:multiLevelType w:val="hybridMultilevel"/>
    <w:lvl w:ilvl="0">
      <w:lvlJc w:val="left"/>
      <w:lvlText w:val="%1."/>
      <w:numFmt w:val="upperLetter"/>
      <w:start w:val="4"/>
    </w:lvl>
  </w:abstractNum>
  <w:abstractNum w:abstractNumId="181">
    <w:nsid w:val="6EC9D844"/>
    <w:multiLevelType w:val="hybridMultilevel"/>
    <w:lvl w:ilvl="0">
      <w:lvlJc w:val="left"/>
      <w:lvlText w:val="3"/>
      <w:numFmt w:val="bullet"/>
      <w:start w:val="1"/>
    </w:lvl>
  </w:abstractNum>
  <w:abstractNum w:abstractNumId="182">
    <w:nsid w:val="5C49EAEE"/>
    <w:multiLevelType w:val="hybridMultilevel"/>
    <w:lvl w:ilvl="0">
      <w:lvlJc w:val="left"/>
      <w:lvlText w:val="4"/>
      <w:numFmt w:val="bullet"/>
      <w:start w:val="1"/>
    </w:lvl>
  </w:abstractNum>
  <w:abstractNum w:abstractNumId="183">
    <w:nsid w:val="64AF49B"/>
    <w:multiLevelType w:val="hybridMultilevel"/>
    <w:lvl w:ilvl="0">
      <w:lvlJc w:val="left"/>
      <w:lvlText w:val="5"/>
      <w:numFmt w:val="bullet"/>
      <w:start w:val="1"/>
    </w:lvl>
  </w:abstractNum>
  <w:abstractNum w:abstractNumId="184">
    <w:nsid w:val="397C46BC"/>
    <w:multiLevelType w:val="hybridMultilevel"/>
    <w:lvl w:ilvl="0">
      <w:lvlJc w:val="left"/>
      <w:lvlText w:val="6"/>
      <w:numFmt w:val="bullet"/>
      <w:start w:val="1"/>
    </w:lvl>
    <w:lvl w:ilvl="1">
      <w:lvlJc w:val="left"/>
      <w:lvlText w:val="-"/>
      <w:numFmt w:val="bullet"/>
      <w:start w:val="1"/>
    </w:lvl>
  </w:abstractNum>
  <w:abstractNum w:abstractNumId="185">
    <w:nsid w:val="7E448DE9"/>
    <w:multiLevelType w:val="hybridMultilevel"/>
    <w:lvl w:ilvl="0">
      <w:lvlJc w:val="left"/>
      <w:lvlText w:val="7"/>
      <w:numFmt w:val="bullet"/>
      <w:start w:val="1"/>
    </w:lvl>
    <w:lvl w:ilvl="1">
      <w:lvlJc w:val="left"/>
      <w:lvlText w:val="-"/>
      <w:numFmt w:val="bullet"/>
      <w:start w:val="1"/>
    </w:lvl>
  </w:abstractNum>
  <w:abstractNum w:abstractNumId="186">
    <w:nsid w:val="5A9CC3E5"/>
    <w:multiLevelType w:val="hybridMultilevel"/>
    <w:lvl w:ilvl="0">
      <w:lvlJc w:val="left"/>
      <w:lvlText w:val="8"/>
      <w:numFmt w:val="bullet"/>
      <w:start w:val="1"/>
    </w:lvl>
    <w:lvl w:ilvl="1">
      <w:lvlJc w:val="left"/>
      <w:lvlText w:val="-"/>
      <w:numFmt w:val="bullet"/>
      <w:start w:val="1"/>
    </w:lvl>
  </w:abstractNum>
  <w:abstractNum w:abstractNumId="187">
    <w:nsid w:val="1AFE3625"/>
    <w:multiLevelType w:val="hybridMultilevel"/>
    <w:lvl w:ilvl="0">
      <w:lvlJc w:val="left"/>
      <w:lvlText w:val="9"/>
      <w:numFmt w:val="bullet"/>
      <w:start w:val="1"/>
    </w:lvl>
  </w:abstractNum>
  <w:abstractNum w:abstractNumId="188">
    <w:nsid w:val="3CA88ECF"/>
    <w:multiLevelType w:val="hybridMultilevel"/>
    <w:lvl w:ilvl="0">
      <w:lvlJc w:val="left"/>
      <w:lvlText w:val="%1."/>
      <w:numFmt w:val="decimal"/>
      <w:start w:val="1"/>
    </w:lvl>
  </w:abstractNum>
  <w:abstractNum w:abstractNumId="189">
    <w:nsid w:val="6EBE4208"/>
    <w:multiLevelType w:val="hybridMultilevel"/>
    <w:lvl w:ilvl="0">
      <w:lvlJc w:val="left"/>
      <w:lvlText w:val="%1."/>
      <w:numFmt w:val="decimal"/>
      <w:start w:val="5"/>
    </w:lvl>
  </w:abstractNum>
  <w:abstractNum w:abstractNumId="190">
    <w:nsid w:val="C058DF5"/>
    <w:multiLevelType w:val="hybridMultilevel"/>
    <w:lvl w:ilvl="0">
      <w:lvlJc w:val="left"/>
      <w:lvlText w:val="%1."/>
      <w:numFmt w:val="decimal"/>
      <w:start w:val="8"/>
    </w:lvl>
  </w:abstractNum>
  <w:abstractNum w:abstractNumId="191">
    <w:nsid w:val="CBE5BE9"/>
    <w:multiLevelType w:val="hybridMultilevel"/>
    <w:lvl w:ilvl="0">
      <w:lvlJc w:val="left"/>
      <w:lvlText w:val="%1."/>
      <w:numFmt w:val="decimal"/>
      <w:start w:val="15"/>
    </w:lvl>
  </w:abstractNum>
  <w:abstractNum w:abstractNumId="192">
    <w:nsid w:val="3102BBE2"/>
    <w:multiLevelType w:val="hybridMultilevel"/>
    <w:lvl w:ilvl="0">
      <w:lvlJc w:val="left"/>
      <w:lvlText w:val="%1."/>
      <w:numFmt w:val="decimal"/>
      <w:start w:val="23"/>
    </w:lvl>
  </w:abstractNum>
  <w:abstractNum w:abstractNumId="193">
    <w:nsid w:val="26A02C5E"/>
    <w:multiLevelType w:val="hybridMultilevel"/>
    <w:lvl w:ilvl="0">
      <w:lvlJc w:val="left"/>
      <w:lvlText w:val="%1."/>
      <w:numFmt w:val="decimal"/>
      <w:start w:val="1"/>
    </w:lvl>
  </w:abstractNum>
  <w:abstractNum w:abstractNumId="194">
    <w:nsid w:val="541C8153"/>
    <w:multiLevelType w:val="hybridMultilevel"/>
    <w:lvl w:ilvl="0">
      <w:lvlJc w:val="left"/>
      <w:lvlText w:val="%1."/>
      <w:numFmt w:val="decimal"/>
      <w:start w:val="1"/>
    </w:lvl>
  </w:abstractNum>
  <w:abstractNum w:abstractNumId="195">
    <w:nsid w:val="67906F60"/>
    <w:multiLevelType w:val="hybridMultilevel"/>
    <w:lvl w:ilvl="0">
      <w:lvlJc w:val="left"/>
      <w:lvlText w:val="%1."/>
      <w:numFmt w:val="decimal"/>
      <w:start w:val="1"/>
    </w:lvl>
  </w:abstractNum>
  <w:abstractNum w:abstractNumId="196">
    <w:nsid w:val="10DB9DA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2019-12-07T23:36:02Z</dcterms:created>
  <dcterms:modified xsi:type="dcterms:W3CDTF">2019-12-07T23:36:02Z</dcterms:modified>
</cp:coreProperties>
</file>